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default" w:eastAsia="方正小标宋_GBK"/>
          <w:b w:val="0"/>
          <w:bCs/>
          <w:sz w:val="32"/>
          <w:szCs w:val="32"/>
        </w:rPr>
      </w:pPr>
      <w:r>
        <w:rPr>
          <w:rFonts w:hint="default" w:eastAsia="方正小标宋_GBK"/>
          <w:b w:val="0"/>
          <w:bCs/>
          <w:sz w:val="32"/>
          <w:szCs w:val="32"/>
        </w:rPr>
        <w:t>《中小学生健康管理</w:t>
      </w:r>
      <w:r>
        <w:rPr>
          <w:rFonts w:hint="eastAsia" w:eastAsia="方正小标宋_GBK"/>
          <w:b w:val="0"/>
          <w:bCs/>
          <w:sz w:val="32"/>
          <w:szCs w:val="32"/>
          <w:lang w:val="en-US" w:eastAsia="zh-CN"/>
        </w:rPr>
        <w:t>技术</w:t>
      </w:r>
      <w:r>
        <w:rPr>
          <w:rFonts w:hint="default" w:eastAsia="方正小标宋_GBK"/>
          <w:b w:val="0"/>
          <w:bCs/>
          <w:sz w:val="32"/>
          <w:szCs w:val="32"/>
        </w:rPr>
        <w:t>规范</w:t>
      </w:r>
      <w:r>
        <w:rPr>
          <w:rFonts w:hint="eastAsia" w:eastAsia="方正小标宋_GBK"/>
          <w:b w:val="0"/>
          <w:bCs/>
          <w:sz w:val="32"/>
          <w:szCs w:val="32"/>
          <w:lang w:val="en-US" w:eastAsia="zh-CN"/>
        </w:rPr>
        <w:t xml:space="preserve"> </w:t>
      </w:r>
      <w:r>
        <w:rPr>
          <w:rFonts w:hint="default" w:eastAsia="方正小标宋_GBK"/>
          <w:b w:val="0"/>
          <w:bCs/>
          <w:sz w:val="32"/>
          <w:szCs w:val="32"/>
        </w:rPr>
        <w:t>第4部分</w:t>
      </w:r>
      <w:r>
        <w:rPr>
          <w:rFonts w:hint="eastAsia" w:eastAsia="方正小标宋_GBK"/>
          <w:b w:val="0"/>
          <w:bCs/>
          <w:sz w:val="32"/>
          <w:szCs w:val="32"/>
          <w:lang w:eastAsia="zh-CN"/>
        </w:rPr>
        <w:t>：</w:t>
      </w:r>
      <w:r>
        <w:rPr>
          <w:rFonts w:hint="default" w:eastAsia="方正小标宋_GBK"/>
          <w:b w:val="0"/>
          <w:bCs/>
          <w:sz w:val="32"/>
          <w:szCs w:val="32"/>
        </w:rPr>
        <w:t>数字健康》</w:t>
      </w:r>
    </w:p>
    <w:p>
      <w:pPr>
        <w:spacing w:line="360" w:lineRule="auto"/>
        <w:jc w:val="center"/>
        <w:rPr>
          <w:rFonts w:hint="default" w:eastAsia="方正小标宋_GBK"/>
          <w:b w:val="0"/>
          <w:bCs/>
          <w:sz w:val="32"/>
          <w:szCs w:val="32"/>
        </w:rPr>
      </w:pPr>
      <w:r>
        <w:rPr>
          <w:rFonts w:hint="default" w:eastAsia="方正小标宋_GBK"/>
          <w:b w:val="0"/>
          <w:bCs/>
          <w:sz w:val="32"/>
          <w:szCs w:val="32"/>
        </w:rPr>
        <w:t>编制说明</w:t>
      </w:r>
    </w:p>
    <w:p>
      <w:pPr>
        <w:numPr>
          <w:ilvl w:val="0"/>
          <w:numId w:val="1"/>
        </w:numPr>
        <w:spacing w:line="360" w:lineRule="auto"/>
        <w:ind w:left="0" w:leftChars="0"/>
        <w:jc w:val="left"/>
        <w:rPr>
          <w:rFonts w:hint="default" w:eastAsia="黑体"/>
          <w:b w:val="0"/>
          <w:bCs/>
          <w:sz w:val="32"/>
          <w:szCs w:val="32"/>
        </w:rPr>
      </w:pPr>
      <w:r>
        <w:rPr>
          <w:rFonts w:hint="default" w:eastAsia="黑体"/>
          <w:b w:val="0"/>
          <w:bCs/>
          <w:sz w:val="32"/>
          <w:szCs w:val="32"/>
        </w:rPr>
        <w:t>目的意义</w:t>
      </w:r>
    </w:p>
    <w:p>
      <w:pPr>
        <w:numPr>
          <w:ilvl w:val="-1"/>
          <w:numId w:val="0"/>
        </w:numPr>
        <w:spacing w:line="360" w:lineRule="auto"/>
        <w:ind w:left="0" w:firstLine="0" w:firstLineChars="0"/>
        <w:jc w:val="left"/>
        <w:rPr>
          <w:rFonts w:hint="default" w:ascii="Times New Roman" w:hAnsi="Times New Roman" w:cs="Times New Roman"/>
          <w:b/>
          <w:sz w:val="24"/>
        </w:rPr>
      </w:pPr>
      <w:r>
        <w:rPr>
          <w:rFonts w:hint="default" w:ascii="Times New Roman" w:hAnsi="Times New Roman" w:cs="Times New Roman"/>
          <w:b/>
          <w:sz w:val="24"/>
          <w:lang w:val="en-US" w:eastAsia="zh-CN"/>
        </w:rPr>
        <w:t xml:space="preserve">1.1 </w:t>
      </w:r>
      <w:r>
        <w:rPr>
          <w:rFonts w:hint="default" w:ascii="Times New Roman" w:hAnsi="Times New Roman" w:cs="Times New Roman"/>
          <w:b/>
          <w:sz w:val="24"/>
        </w:rPr>
        <w:t>产业发展现状</w:t>
      </w:r>
    </w:p>
    <w:p>
      <w:pPr>
        <w:spacing w:line="360" w:lineRule="auto"/>
        <w:ind w:firstLine="500" w:firstLineChars="200"/>
        <w:rPr>
          <w:rFonts w:hint="default" w:ascii="Times New Roman" w:hAnsi="Times New Roman" w:cs="Times New Roman"/>
          <w:bCs/>
          <w:spacing w:val="5"/>
          <w:sz w:val="24"/>
        </w:rPr>
      </w:pPr>
      <w:r>
        <w:rPr>
          <w:rFonts w:hint="default" w:ascii="Times New Roman" w:hAnsi="Times New Roman" w:cs="Times New Roman"/>
          <w:bCs/>
          <w:spacing w:val="5"/>
          <w:sz w:val="24"/>
        </w:rPr>
        <w:t>近年来，随着生活节奏的加快，中小学生的身心健康问题逐渐凸显，如龋齿、肥胖、近视、心理疾病等，已成为影响儿童青少年健康成长和全面推进健康中国建设的重要问题。在信息化社会下，人工智能、大数据、云计算、</w:t>
      </w:r>
      <w:r>
        <w:rPr>
          <w:rFonts w:hint="eastAsia" w:cs="Times New Roman"/>
          <w:bCs/>
          <w:spacing w:val="5"/>
          <w:sz w:val="24"/>
          <w:lang w:val="en-US" w:eastAsia="zh-CN"/>
        </w:rPr>
        <w:t>虚拟现实</w:t>
      </w:r>
      <w:r>
        <w:rPr>
          <w:rFonts w:hint="default" w:ascii="Times New Roman" w:hAnsi="Times New Roman" w:cs="Times New Roman"/>
          <w:bCs/>
          <w:spacing w:val="5"/>
          <w:sz w:val="24"/>
        </w:rPr>
        <w:t>等新兴数字技术发展迅速，已经渗透到生活、娱乐、教育、医学等各个领域。对于中小学生的健康管理而言，以数字技术为依托的新型健康服务和</w:t>
      </w:r>
      <w:r>
        <w:rPr>
          <w:rFonts w:hint="eastAsia" w:cs="Times New Roman"/>
          <w:bCs/>
          <w:spacing w:val="5"/>
          <w:sz w:val="24"/>
          <w:lang w:val="en-US" w:eastAsia="zh-CN"/>
        </w:rPr>
        <w:t>数字化管理</w:t>
      </w:r>
      <w:r>
        <w:rPr>
          <w:rFonts w:hint="default" w:ascii="Times New Roman" w:hAnsi="Times New Roman" w:cs="Times New Roman"/>
          <w:bCs/>
          <w:spacing w:val="5"/>
          <w:sz w:val="24"/>
        </w:rPr>
        <w:t>设备的应用正逐渐成为一种现行趋势及发展需求，能够提高健康管理的效率，有助于促进健康知识的普及，提升学生的整体健康。此外，数字化技术的应用能够实时监测和追踪学生的健康状况，及时发现异常情况并采取相应的措施。同时，数字化技术的应用能够根据每个学生的具体情况提供个性化的健康建议和管理方案，使健康管理更加精准和有效。最后，数字化健康管理的应用还有助于加强学校、家庭之间的沟通与合作，协同关注中小学生的身心健康状况。中小学生作为国家的未来、民族的希望，促进其身心健康是健康中国建设的重要环节。因此，为促进中小学生身心健康的全面发展，充分利用互联网、大数据等数字技术，以推动针对中小学生的早期筛查、监测预警、疾病预防和干预等工作的开展，其重要性不容忽视。</w:t>
      </w:r>
    </w:p>
    <w:p>
      <w:pPr>
        <w:numPr>
          <w:ilvl w:val="-1"/>
          <w:numId w:val="0"/>
        </w:numPr>
        <w:spacing w:line="360" w:lineRule="auto"/>
        <w:ind w:firstLine="0" w:firstLineChars="0"/>
        <w:jc w:val="left"/>
        <w:rPr>
          <w:rFonts w:hint="default" w:ascii="Times New Roman" w:hAnsi="Times New Roman" w:cs="Times New Roman"/>
          <w:b/>
          <w:sz w:val="24"/>
        </w:rPr>
      </w:pPr>
      <w:r>
        <w:rPr>
          <w:rFonts w:hint="default" w:ascii="Times New Roman" w:hAnsi="Times New Roman" w:cs="Times New Roman"/>
          <w:bCs/>
          <w:spacing w:val="5"/>
          <w:sz w:val="24"/>
          <w:lang w:val="en-US" w:eastAsia="zh-CN"/>
        </w:rPr>
        <w:t xml:space="preserve">1.2 </w:t>
      </w:r>
      <w:r>
        <w:rPr>
          <w:rFonts w:hint="default" w:ascii="Times New Roman" w:hAnsi="Times New Roman" w:cs="Times New Roman"/>
          <w:b/>
          <w:sz w:val="24"/>
        </w:rPr>
        <w:t>必要性与可行性</w:t>
      </w:r>
    </w:p>
    <w:p>
      <w:pPr>
        <w:spacing w:line="360" w:lineRule="auto"/>
        <w:ind w:firstLine="500" w:firstLineChars="200"/>
        <w:rPr>
          <w:rFonts w:hint="default" w:ascii="Times New Roman" w:hAnsi="Times New Roman" w:cs="Times New Roman"/>
          <w:bCs/>
          <w:spacing w:val="5"/>
          <w:sz w:val="24"/>
        </w:rPr>
      </w:pPr>
      <w:r>
        <w:rPr>
          <w:rFonts w:hint="default" w:ascii="Times New Roman" w:hAnsi="Times New Roman" w:cs="Times New Roman"/>
          <w:bCs/>
          <w:spacing w:val="5"/>
          <w:sz w:val="24"/>
        </w:rPr>
        <w:t>2021年，教育部等五部门发布《关于全面加强和改进新时代学校卫生与健康教育工作的意见》，提出要加强学生健康管理，建设全国学生健康管理信息系统，强化与卫生健康系统有关数据互通共享，为学生制定个性化健康指导。同年，《关于大力加强中小学线上教育教学资源建设与应用的意见》的出台提出要加强中小学线上教育教学资源建设与应用，助力教育模式变革。2023年，《全面加强和改进新时代学生心理健康工作专项行动计划（2023—2025年）》提出要利用现代信息技术手段，提高学生心理健康教育的普及性和可及性。在此背景下，制定适用于中小学生数字化健康管理的规范标准尤为重要。</w:t>
      </w:r>
    </w:p>
    <w:p>
      <w:pPr>
        <w:spacing w:line="360" w:lineRule="auto"/>
        <w:ind w:firstLine="500" w:firstLineChars="200"/>
        <w:rPr>
          <w:rFonts w:hint="default" w:ascii="Times New Roman" w:hAnsi="Times New Roman" w:cs="Times New Roman"/>
          <w:bCs/>
          <w:spacing w:val="5"/>
          <w:sz w:val="24"/>
        </w:rPr>
      </w:pPr>
      <w:r>
        <w:rPr>
          <w:rFonts w:hint="default" w:ascii="Times New Roman" w:hAnsi="Times New Roman" w:cs="Times New Roman"/>
          <w:bCs/>
          <w:spacing w:val="5"/>
          <w:sz w:val="24"/>
        </w:rPr>
        <w:t>然而，尽管江苏省在中小学生教育、健康管理等方面均有实质性发展，但在中小学生数字化健康管理工作方面尚需进一步完善。现存数字化技术在中小学生健康管理领域尚未常规化应用，已有的数字化技术例如智慧健康教育资源及学习平台、智能健康管理手机应用程序及虚拟现实教学课程在中小学生健康管理中的应用尚缺乏规范化的标准。因此，通过本标准的建立和实施，将规范和促进我省数字化技术在中小学生健康管理中的应用，避免数字技术在中小学生健康管理上存在针对性不强、无相关标准等问题，提高中小学生健康管理的科学性、针对性和有效性，保障中小学生的身心健康。</w:t>
      </w:r>
    </w:p>
    <w:p>
      <w:pPr>
        <w:numPr>
          <w:ilvl w:val="-1"/>
          <w:numId w:val="0"/>
        </w:numPr>
        <w:spacing w:line="360" w:lineRule="auto"/>
        <w:ind w:left="0" w:firstLine="0" w:firstLineChars="0"/>
        <w:jc w:val="left"/>
        <w:rPr>
          <w:rFonts w:hint="default" w:ascii="Times New Roman" w:hAnsi="Times New Roman" w:cs="Times New Roman"/>
          <w:b/>
          <w:sz w:val="24"/>
        </w:rPr>
      </w:pPr>
      <w:r>
        <w:rPr>
          <w:rFonts w:hint="default" w:ascii="Times New Roman" w:hAnsi="Times New Roman" w:cs="Times New Roman"/>
          <w:b/>
          <w:sz w:val="24"/>
          <w:lang w:val="en-US" w:eastAsia="zh-CN"/>
        </w:rPr>
        <w:t xml:space="preserve">1.3 </w:t>
      </w:r>
      <w:r>
        <w:rPr>
          <w:rFonts w:hint="default" w:ascii="Times New Roman" w:hAnsi="Times New Roman" w:cs="Times New Roman"/>
          <w:b/>
          <w:sz w:val="24"/>
        </w:rPr>
        <w:t>预期经济社会效益分析</w:t>
      </w:r>
    </w:p>
    <w:p>
      <w:pPr>
        <w:spacing w:line="360" w:lineRule="auto"/>
        <w:ind w:firstLine="480" w:firstLineChars="200"/>
        <w:rPr>
          <w:rFonts w:hint="default" w:ascii="Times New Roman" w:hAnsi="Times New Roman" w:cs="Times New Roman"/>
          <w:bCs/>
          <w:sz w:val="24"/>
        </w:rPr>
      </w:pPr>
      <w:r>
        <w:rPr>
          <w:rFonts w:hint="default" w:ascii="Times New Roman" w:hAnsi="Times New Roman" w:cs="Times New Roman"/>
          <w:bCs/>
          <w:sz w:val="24"/>
        </w:rPr>
        <w:t>本标准的实施能够通过规范中小学生的数字化健康管理，更有效地监测、评估、管理和改善学生的健康状况，推动学生采取更健康的生活方式，提供个性化的健康管理方案，更好地满足不同学生群体的健康管理需求，预防疾病和健康问题。同时，通过数字技术的应用促进学生、家长的参与，以提高学生的整体健康水平；通过数字化健康管理收集的健康数据可用于制定更科学、针对性的健康教育内容和政策，更好地支持中小学生的全面发展；促进创新的健康教育模式，提供互动性和个性化的健康教育课程，使学生能够更好地理解和关注自身健康；此外，通过标准化的数字化健康管理提前发现和干预中小学生健康问题。总体而言，通过规范中小学生数字化健康管理，将为中小学生提供全面、高效的健康管理服务，确保他们能够享有高效能的健康管理，促进他们的身心健康全面发展；还将为家长、学校、医疗机构等提供更精准、及时的健康信息，从而共同为中小学生的全面健康保障贡献力量。</w:t>
      </w:r>
    </w:p>
    <w:p>
      <w:pPr>
        <w:spacing w:line="360" w:lineRule="auto"/>
        <w:ind w:firstLine="480" w:firstLineChars="200"/>
        <w:rPr>
          <w:rFonts w:hint="default" w:ascii="Times New Roman" w:hAnsi="Times New Roman" w:cs="Times New Roman"/>
          <w:bCs/>
          <w:sz w:val="24"/>
        </w:rPr>
      </w:pPr>
    </w:p>
    <w:p>
      <w:pPr>
        <w:numPr>
          <w:ilvl w:val="0"/>
          <w:numId w:val="0"/>
        </w:numPr>
        <w:spacing w:line="360" w:lineRule="auto"/>
        <w:ind w:left="0" w:leftChars="0" w:firstLine="0" w:firstLineChars="0"/>
        <w:jc w:val="left"/>
        <w:rPr>
          <w:rFonts w:hint="default" w:eastAsia="黑体"/>
          <w:b w:val="0"/>
          <w:bCs/>
          <w:spacing w:val="0"/>
          <w:sz w:val="32"/>
          <w:szCs w:val="32"/>
        </w:rPr>
      </w:pPr>
      <w:r>
        <w:rPr>
          <w:rFonts w:hint="default" w:eastAsia="黑体"/>
          <w:b w:val="0"/>
          <w:bCs/>
          <w:spacing w:val="0"/>
          <w:sz w:val="32"/>
          <w:szCs w:val="32"/>
        </w:rPr>
        <w:t>二、任务来源</w:t>
      </w:r>
    </w:p>
    <w:p>
      <w:pPr>
        <w:spacing w:line="360" w:lineRule="auto"/>
        <w:ind w:firstLine="500" w:firstLineChars="200"/>
        <w:rPr>
          <w:rFonts w:hint="default" w:ascii="Times New Roman" w:hAnsi="Times New Roman" w:cs="Times New Roman"/>
          <w:bCs/>
          <w:spacing w:val="5"/>
          <w:sz w:val="24"/>
        </w:rPr>
      </w:pPr>
      <w:r>
        <w:rPr>
          <w:rFonts w:hint="default" w:ascii="Times New Roman" w:hAnsi="Times New Roman" w:cs="Times New Roman"/>
          <w:bCs/>
          <w:spacing w:val="5"/>
          <w:sz w:val="24"/>
        </w:rPr>
        <w:t>2023年8月4日江苏省市场监督管理局下达《中小学生健康管理服务规范》编制任务（《关于下达2023年度江苏省地方标准项目计划的通知》苏市监标〔2023〕173号）。东南大学、江苏省疾病预防控制中心、盐城市疾病预防控制中心、南京市疾病预防控制中心、连云港市疾病预防控制中心、镇江市疾病预防控制中心为起草单位。</w:t>
      </w:r>
    </w:p>
    <w:p>
      <w:pPr>
        <w:spacing w:line="360" w:lineRule="auto"/>
        <w:ind w:firstLine="500" w:firstLineChars="200"/>
        <w:rPr>
          <w:rFonts w:hint="default" w:ascii="Times New Roman" w:hAnsi="Times New Roman" w:cs="Times New Roman"/>
          <w:bCs/>
          <w:spacing w:val="5"/>
          <w:sz w:val="24"/>
        </w:rPr>
      </w:pPr>
    </w:p>
    <w:p>
      <w:pPr>
        <w:spacing w:line="580" w:lineRule="exact"/>
        <w:rPr>
          <w:rFonts w:eastAsia="黑体"/>
          <w:sz w:val="32"/>
          <w:szCs w:val="32"/>
        </w:rPr>
      </w:pPr>
      <w:r>
        <w:rPr>
          <w:rFonts w:eastAsia="黑体"/>
          <w:sz w:val="32"/>
          <w:szCs w:val="32"/>
        </w:rPr>
        <w:t>三、编制过程</w:t>
      </w:r>
    </w:p>
    <w:p>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2023年7月，东南大学、江苏省疾病预防控制中心、盐城市疾病预防控制中心、南京市疾病预防控制中心、连云港市疾病预防控制中心、镇江市疾病预防控制中心达成合作意向，共同成立起草组，开始本标准的研究制定工作。</w:t>
      </w:r>
    </w:p>
    <w:p>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2023年8月，通过标准的资料收集与整理，为起草提供依据和参考。起草小组多次组织会议开展沟通和协调，结合相关资料，确立标准大纲以及工作思路。</w:t>
      </w:r>
    </w:p>
    <w:p>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2024年1月，完成标准的草案稿。开展省内各地初步意见征求。</w:t>
      </w:r>
    </w:p>
    <w:p>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2024年2月，根据征求意见对标准进行和完善修改，形成送审讨论稿。</w:t>
      </w:r>
    </w:p>
    <w:p>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2024年3月，召开专家初审会。</w:t>
      </w:r>
    </w:p>
    <w:p>
      <w:pPr>
        <w:adjustRightInd w:val="0"/>
        <w:spacing w:line="360" w:lineRule="auto"/>
        <w:rPr>
          <w:rFonts w:hint="default" w:ascii="Times New Roman" w:hAnsi="Times New Roman" w:cs="Times New Roman"/>
          <w:b/>
          <w:bCs/>
          <w:sz w:val="24"/>
        </w:rPr>
      </w:pPr>
      <w:r>
        <w:rPr>
          <w:rFonts w:hint="default" w:ascii="Times New Roman" w:hAnsi="Times New Roman" w:cs="Times New Roman"/>
          <w:b/>
          <w:bCs/>
          <w:sz w:val="24"/>
        </w:rPr>
        <w:t>3.1 立项</w:t>
      </w:r>
    </w:p>
    <w:p>
      <w:pPr>
        <w:spacing w:line="360" w:lineRule="auto"/>
        <w:ind w:firstLine="420"/>
        <w:rPr>
          <w:rFonts w:hint="default" w:ascii="Times New Roman" w:hAnsi="Times New Roman" w:cs="Times New Roman"/>
          <w:bCs/>
          <w:spacing w:val="5"/>
          <w:sz w:val="24"/>
        </w:rPr>
      </w:pPr>
      <w:r>
        <w:rPr>
          <w:rFonts w:hint="default" w:ascii="Times New Roman" w:hAnsi="Times New Roman" w:cs="Times New Roman"/>
          <w:bCs/>
          <w:spacing w:val="5"/>
          <w:sz w:val="24"/>
        </w:rPr>
        <w:t>2023年7月启动中小学生数字化健康管理规范标准的编制工作，组建标准制定工作组，确定成员名单和职责分工，明确标准的目标和范围。2023年7月，通过江苏省卫生标准化技术委员会申报地方标准立项。8月，江苏省市场监督管理局下达《中小学生健康管理服务规范》编制任务（苏市监标〔2023〕173号）。</w:t>
      </w:r>
    </w:p>
    <w:p>
      <w:pPr>
        <w:adjustRightInd w:val="0"/>
        <w:spacing w:line="360" w:lineRule="auto"/>
        <w:rPr>
          <w:rFonts w:hint="default" w:ascii="Times New Roman" w:hAnsi="Times New Roman" w:cs="Times New Roman"/>
          <w:b/>
          <w:bCs/>
          <w:sz w:val="24"/>
        </w:rPr>
      </w:pPr>
      <w:r>
        <w:rPr>
          <w:rFonts w:hint="default" w:ascii="Times New Roman" w:hAnsi="Times New Roman" w:cs="Times New Roman"/>
          <w:b/>
          <w:bCs/>
          <w:sz w:val="24"/>
        </w:rPr>
        <w:t>3.2 起草</w:t>
      </w:r>
    </w:p>
    <w:p>
      <w:pPr>
        <w:spacing w:line="360" w:lineRule="auto"/>
        <w:ind w:firstLine="500" w:firstLineChars="200"/>
        <w:rPr>
          <w:rFonts w:hint="default" w:ascii="Times New Roman" w:hAnsi="Times New Roman" w:cs="Times New Roman"/>
          <w:bCs/>
          <w:spacing w:val="5"/>
          <w:sz w:val="24"/>
        </w:rPr>
      </w:pPr>
      <w:r>
        <w:rPr>
          <w:rFonts w:hint="default" w:ascii="Times New Roman" w:hAnsi="Times New Roman" w:cs="Times New Roman"/>
          <w:bCs/>
          <w:spacing w:val="5"/>
          <w:sz w:val="24"/>
        </w:rPr>
        <w:t>2023年9月-12月，标准起草小组人员首先收集了有关国家及省市法律法规、政策文件、国家标准、行业标准、地方标准，查阅了大量相关的文献资料</w:t>
      </w:r>
      <w:r>
        <w:rPr>
          <w:rFonts w:hint="default" w:ascii="Times New Roman" w:hAnsi="Times New Roman" w:cs="Times New Roman"/>
          <w:bCs/>
          <w:spacing w:val="5"/>
          <w:sz w:val="24"/>
          <w:lang w:eastAsia="zh-CN"/>
        </w:rPr>
        <w:t>，</w:t>
      </w:r>
      <w:r>
        <w:rPr>
          <w:rFonts w:hint="default" w:ascii="Times New Roman" w:hAnsi="Times New Roman" w:cs="Times New Roman"/>
          <w:bCs/>
          <w:spacing w:val="5"/>
          <w:sz w:val="24"/>
        </w:rPr>
        <w:t>对相关国家标准和行业标准进行认真分析、研究。同时，查阅了大量相关的文献资料与研究报告，开展多次交流讨论。最终制定初步草案，明确标准的主要内容、范围、适用对象、标准应用要求等。</w:t>
      </w:r>
    </w:p>
    <w:p>
      <w:pPr>
        <w:spacing w:line="360" w:lineRule="auto"/>
        <w:rPr>
          <w:rFonts w:hint="default" w:ascii="Times New Roman" w:hAnsi="Times New Roman" w:cs="Times New Roman"/>
          <w:b/>
          <w:bCs/>
          <w:spacing w:val="5"/>
          <w:sz w:val="24"/>
        </w:rPr>
      </w:pPr>
      <w:r>
        <w:rPr>
          <w:rFonts w:hint="default" w:ascii="Times New Roman" w:hAnsi="Times New Roman" w:cs="Times New Roman"/>
          <w:b/>
          <w:bCs/>
          <w:spacing w:val="5"/>
          <w:sz w:val="24"/>
        </w:rPr>
        <w:t>3.3 审查</w:t>
      </w:r>
    </w:p>
    <w:p>
      <w:pPr>
        <w:spacing w:line="360" w:lineRule="auto"/>
        <w:ind w:firstLine="500" w:firstLineChars="200"/>
        <w:rPr>
          <w:rFonts w:hint="default" w:ascii="Times New Roman" w:hAnsi="Times New Roman" w:cs="Times New Roman"/>
          <w:bCs/>
          <w:spacing w:val="5"/>
          <w:sz w:val="24"/>
        </w:rPr>
      </w:pPr>
      <w:r>
        <w:rPr>
          <w:rFonts w:hint="default" w:ascii="Times New Roman" w:hAnsi="Times New Roman" w:cs="Times New Roman"/>
          <w:bCs/>
          <w:spacing w:val="5"/>
          <w:sz w:val="24"/>
        </w:rPr>
        <w:t>2024年1月完成标准草案的初稿，将草案稿在省内各地进行征求意见，分析和整理收集到的意见和建议，对标准草案进行修订和完善，形成标准送审稿。3月26日，工作组召集9位专家召开初审会议，详细记录了专家提出的建议并再次修改，形成报批稿。</w:t>
      </w:r>
    </w:p>
    <w:p>
      <w:pPr>
        <w:spacing w:line="360" w:lineRule="auto"/>
        <w:ind w:firstLine="500" w:firstLineChars="200"/>
        <w:rPr>
          <w:rFonts w:hint="default" w:ascii="Times New Roman" w:hAnsi="Times New Roman" w:cs="Times New Roman"/>
          <w:bCs/>
          <w:spacing w:val="5"/>
          <w:sz w:val="24"/>
        </w:rPr>
      </w:pPr>
    </w:p>
    <w:p>
      <w:pPr>
        <w:numPr>
          <w:ilvl w:val="0"/>
          <w:numId w:val="2"/>
        </w:numPr>
        <w:spacing w:line="360" w:lineRule="auto"/>
        <w:ind w:firstLine="0" w:firstLineChars="0"/>
        <w:rPr>
          <w:rFonts w:hint="default" w:eastAsia="黑体"/>
          <w:b w:val="0"/>
          <w:bCs/>
          <w:spacing w:val="5"/>
          <w:sz w:val="32"/>
          <w:szCs w:val="32"/>
        </w:rPr>
      </w:pPr>
      <w:r>
        <w:rPr>
          <w:rFonts w:hint="default" w:eastAsia="黑体"/>
          <w:b w:val="0"/>
          <w:bCs/>
          <w:spacing w:val="5"/>
          <w:sz w:val="32"/>
          <w:szCs w:val="32"/>
        </w:rPr>
        <w:t>主要内容</w:t>
      </w:r>
    </w:p>
    <w:p>
      <w:pPr>
        <w:spacing w:line="360" w:lineRule="auto"/>
        <w:ind w:firstLine="420"/>
        <w:rPr>
          <w:rFonts w:hint="default" w:ascii="Times New Roman" w:hAnsi="Times New Roman" w:cs="Times New Roman"/>
          <w:bCs/>
          <w:spacing w:val="5"/>
          <w:sz w:val="24"/>
        </w:rPr>
      </w:pPr>
      <w:r>
        <w:rPr>
          <w:rFonts w:hint="default" w:ascii="Times New Roman" w:hAnsi="Times New Roman" w:cs="Times New Roman"/>
          <w:bCs/>
          <w:spacing w:val="5"/>
          <w:sz w:val="24"/>
        </w:rPr>
        <w:t>本标准结合中小学生健康管理应包括的健康监测、健康评估、健康干预、连续跟踪过程，提出了中小学生数字化健康管理规范，规定了中小学生数字化健康管理的基本原则、基础设施要求、数字化健康管理服务和规范性评估等内容。符合我省儿童青少年数字化健康管理的现状和需求。</w:t>
      </w:r>
    </w:p>
    <w:p>
      <w:pPr>
        <w:spacing w:line="360" w:lineRule="auto"/>
        <w:ind w:firstLine="420"/>
        <w:rPr>
          <w:rFonts w:hint="default" w:ascii="Times New Roman" w:hAnsi="Times New Roman" w:cs="Times New Roman"/>
          <w:bCs/>
          <w:spacing w:val="5"/>
          <w:sz w:val="24"/>
        </w:rPr>
      </w:pPr>
      <w:r>
        <w:rPr>
          <w:rFonts w:hint="default" w:ascii="Times New Roman" w:hAnsi="Times New Roman" w:cs="Times New Roman"/>
          <w:bCs/>
          <w:spacing w:val="5"/>
          <w:sz w:val="24"/>
        </w:rPr>
        <w:t>本标准充分总结借鉴其他地区中小学生数字化健康管理的成功经验，并结合我省的实践基础，提出了适合于我省中小学生的数字化健康管理规范。</w:t>
      </w:r>
    </w:p>
    <w:p>
      <w:pPr>
        <w:spacing w:line="360" w:lineRule="auto"/>
        <w:ind w:firstLine="0" w:firstLineChars="0"/>
        <w:rPr>
          <w:rFonts w:hint="default" w:ascii="Times New Roman" w:hAnsi="Times New Roman" w:cs="Times New Roman"/>
          <w:b/>
          <w:spacing w:val="5"/>
          <w:sz w:val="24"/>
        </w:rPr>
      </w:pPr>
      <w:r>
        <w:rPr>
          <w:rFonts w:hint="default" w:ascii="Times New Roman" w:hAnsi="Times New Roman" w:cs="Times New Roman"/>
          <w:b/>
          <w:spacing w:val="5"/>
          <w:sz w:val="24"/>
        </w:rPr>
        <w:t>4.1标准编制原则</w:t>
      </w:r>
    </w:p>
    <w:p>
      <w:pPr>
        <w:spacing w:line="360" w:lineRule="auto"/>
        <w:ind w:firstLine="500" w:firstLineChars="200"/>
        <w:rPr>
          <w:rFonts w:hint="default" w:ascii="Times New Roman" w:hAnsi="Times New Roman" w:cs="Times New Roman"/>
          <w:bCs/>
          <w:spacing w:val="5"/>
          <w:sz w:val="24"/>
        </w:rPr>
      </w:pPr>
      <w:r>
        <w:rPr>
          <w:rFonts w:hint="default" w:ascii="Times New Roman" w:hAnsi="Times New Roman" w:cs="Times New Roman"/>
          <w:bCs/>
          <w:spacing w:val="5"/>
          <w:sz w:val="24"/>
        </w:rPr>
        <w:t>（1）依据有关国家及省市法律法规、政策文件、国家标准、行业标准、地方标准。</w:t>
      </w:r>
    </w:p>
    <w:p>
      <w:pPr>
        <w:spacing w:line="360" w:lineRule="auto"/>
        <w:ind w:firstLine="500" w:firstLineChars="200"/>
        <w:rPr>
          <w:rFonts w:hint="default" w:ascii="Times New Roman" w:hAnsi="Times New Roman" w:cs="Times New Roman"/>
          <w:bCs/>
          <w:spacing w:val="5"/>
          <w:sz w:val="24"/>
        </w:rPr>
      </w:pPr>
      <w:r>
        <w:rPr>
          <w:rFonts w:hint="default" w:ascii="Times New Roman" w:hAnsi="Times New Roman" w:cs="Times New Roman"/>
          <w:bCs/>
          <w:spacing w:val="5"/>
          <w:sz w:val="24"/>
        </w:rPr>
        <w:t>（2）本标准按 GB/T 1.1-2020《标准化工作导则 第1部分：标准的结构和编写规则》要求进行编写。</w:t>
      </w:r>
    </w:p>
    <w:p>
      <w:pPr>
        <w:spacing w:line="360" w:lineRule="auto"/>
        <w:ind w:firstLine="500" w:firstLineChars="200"/>
        <w:rPr>
          <w:rFonts w:hint="default" w:ascii="Times New Roman" w:hAnsi="Times New Roman" w:cs="Times New Roman"/>
          <w:bCs/>
          <w:spacing w:val="5"/>
          <w:sz w:val="24"/>
        </w:rPr>
      </w:pPr>
      <w:r>
        <w:rPr>
          <w:rFonts w:hint="default" w:ascii="Times New Roman" w:hAnsi="Times New Roman" w:cs="Times New Roman"/>
          <w:bCs/>
          <w:spacing w:val="5"/>
          <w:sz w:val="24"/>
        </w:rPr>
        <w:t>（3）本标准为首次制定。</w:t>
      </w:r>
    </w:p>
    <w:p>
      <w:pPr>
        <w:adjustRightInd w:val="0"/>
        <w:spacing w:line="360" w:lineRule="auto"/>
        <w:ind w:firstLine="0"/>
        <w:rPr>
          <w:rFonts w:hint="default" w:ascii="Times New Roman" w:hAnsi="Times New Roman" w:cs="Times New Roman"/>
          <w:b/>
          <w:bCs/>
          <w:sz w:val="24"/>
        </w:rPr>
      </w:pPr>
      <w:r>
        <w:rPr>
          <w:rFonts w:hint="default" w:ascii="Times New Roman" w:hAnsi="Times New Roman" w:cs="Times New Roman"/>
          <w:b/>
          <w:bCs/>
          <w:sz w:val="24"/>
        </w:rPr>
        <w:t>4.2 主要内容</w:t>
      </w:r>
    </w:p>
    <w:p>
      <w:pPr>
        <w:adjustRightInd w:val="0"/>
        <w:spacing w:line="360" w:lineRule="auto"/>
        <w:ind w:firstLine="420"/>
        <w:rPr>
          <w:rFonts w:hint="default" w:ascii="Times New Roman" w:hAnsi="Times New Roman" w:cs="Times New Roman"/>
          <w:sz w:val="24"/>
        </w:rPr>
      </w:pPr>
      <w:r>
        <w:rPr>
          <w:rFonts w:hint="default" w:ascii="Times New Roman" w:hAnsi="Times New Roman" w:cs="Times New Roman"/>
          <w:sz w:val="24"/>
        </w:rPr>
        <w:t>为各地开展中小学生数字化健康管理提供借鉴，确定健康管理内容，规范各地数字化健康管理应用，保证健康管理质量，从而增进中小学生健康。</w:t>
      </w:r>
    </w:p>
    <w:p>
      <w:pPr>
        <w:adjustRightInd w:val="0"/>
        <w:spacing w:line="360" w:lineRule="auto"/>
        <w:ind w:firstLine="420"/>
        <w:rPr>
          <w:rFonts w:hint="default" w:ascii="Times New Roman" w:hAnsi="Times New Roman" w:cs="Times New Roman"/>
          <w:color w:val="auto"/>
          <w:sz w:val="24"/>
        </w:rPr>
      </w:pPr>
      <w:r>
        <w:rPr>
          <w:rFonts w:hint="default" w:ascii="Times New Roman" w:hAnsi="Times New Roman" w:cs="Times New Roman"/>
          <w:color w:val="auto"/>
          <w:sz w:val="24"/>
        </w:rPr>
        <w:t>本标准内容中主要规定了中小学生数字化健康管理的基本原则、基础设施要求、数字化健康管理服务和规范性评估等内容。</w:t>
      </w:r>
    </w:p>
    <w:p>
      <w:pPr>
        <w:adjustRightInd w:val="0"/>
        <w:spacing w:line="360" w:lineRule="auto"/>
        <w:ind w:firstLine="420"/>
        <w:rPr>
          <w:rFonts w:hint="default" w:ascii="Times New Roman" w:hAnsi="Times New Roman" w:cs="Times New Roman"/>
          <w:color w:val="auto"/>
          <w:sz w:val="24"/>
        </w:rPr>
      </w:pPr>
      <w:r>
        <w:rPr>
          <w:rFonts w:hint="default" w:ascii="Times New Roman" w:hAnsi="Times New Roman" w:cs="Times New Roman"/>
          <w:color w:val="auto"/>
          <w:sz w:val="24"/>
        </w:rPr>
        <w:t>本标准适用于：普通中小学校、中等职业学校的中小学生的数字化健康管理，高等院校适用时也可参照执行。</w:t>
      </w:r>
    </w:p>
    <w:p>
      <w:pPr>
        <w:adjustRightInd w:val="0"/>
        <w:spacing w:line="360" w:lineRule="auto"/>
        <w:ind w:firstLine="420"/>
        <w:rPr>
          <w:rFonts w:hint="default" w:ascii="Times New Roman" w:hAnsi="Times New Roman" w:cs="Times New Roman"/>
          <w:sz w:val="24"/>
        </w:rPr>
      </w:pPr>
    </w:p>
    <w:p>
      <w:pPr>
        <w:numPr>
          <w:ilvl w:val="0"/>
          <w:numId w:val="3"/>
        </w:numPr>
        <w:spacing w:line="580" w:lineRule="exact"/>
        <w:rPr>
          <w:rFonts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技术指标确定的依据</w:t>
      </w:r>
    </w:p>
    <w:p>
      <w:pPr>
        <w:pStyle w:val="10"/>
        <w:rPr>
          <w:rFonts w:hint="default" w:ascii="Times New Roman" w:hAnsi="Times New Roman" w:cs="Times New Roman"/>
        </w:rPr>
      </w:pPr>
      <w:r>
        <w:rPr>
          <w:rFonts w:hint="default" w:ascii="Times New Roman" w:hAnsi="Times New Roman" w:cs="Times New Roman"/>
        </w:rPr>
        <w:t>5.1 范围</w:t>
      </w:r>
    </w:p>
    <w:p>
      <w:pPr>
        <w:adjustRightInd w:val="0"/>
        <w:spacing w:line="360" w:lineRule="auto"/>
        <w:ind w:firstLine="42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主要规定了标准的适用范围和主要内容。</w:t>
      </w:r>
    </w:p>
    <w:p>
      <w:pPr>
        <w:pStyle w:val="10"/>
        <w:rPr>
          <w:rFonts w:hint="default" w:ascii="Times New Roman" w:hAnsi="Times New Roman" w:cs="Times New Roman"/>
        </w:rPr>
      </w:pPr>
      <w:r>
        <w:rPr>
          <w:rFonts w:hint="default" w:ascii="Times New Roman" w:hAnsi="Times New Roman" w:cs="Times New Roman"/>
        </w:rPr>
        <w:t>5.2 规范性引用文件</w:t>
      </w:r>
    </w:p>
    <w:p>
      <w:pPr>
        <w:spacing w:line="360" w:lineRule="auto"/>
        <w:ind w:firstLine="480" w:firstLineChars="200"/>
        <w:rPr>
          <w:rFonts w:hint="default" w:ascii="Times New Roman" w:hAnsi="Times New Roman" w:cs="Times New Roman"/>
          <w:sz w:val="24"/>
          <w:shd w:val="clear" w:color="auto" w:fill="FFFFFF"/>
        </w:rPr>
      </w:pPr>
      <w:r>
        <w:rPr>
          <w:rFonts w:hint="default" w:ascii="Times New Roman" w:hAnsi="Times New Roman" w:cs="Times New Roman"/>
          <w:sz w:val="24"/>
          <w:shd w:val="clear" w:color="auto" w:fill="FFFFFF"/>
        </w:rPr>
        <w:t>本文件没有规范性引用文件。</w:t>
      </w:r>
    </w:p>
    <w:p>
      <w:pPr>
        <w:pStyle w:val="10"/>
        <w:rPr>
          <w:rFonts w:hint="default" w:ascii="Times New Roman" w:hAnsi="Times New Roman" w:cs="Times New Roman"/>
        </w:rPr>
      </w:pPr>
      <w:r>
        <w:rPr>
          <w:rFonts w:hint="default" w:ascii="Times New Roman" w:hAnsi="Times New Roman" w:cs="Times New Roman"/>
        </w:rPr>
        <w:t>5.3 术语和定义</w:t>
      </w:r>
    </w:p>
    <w:p>
      <w:pPr>
        <w:spacing w:line="360" w:lineRule="auto"/>
        <w:ind w:firstLine="480" w:firstLineChars="200"/>
        <w:rPr>
          <w:rFonts w:hint="default" w:ascii="Times New Roman" w:hAnsi="Times New Roman" w:cs="Times New Roman"/>
          <w:sz w:val="24"/>
          <w:shd w:val="clear" w:color="auto" w:fill="FFFFFF"/>
        </w:rPr>
      </w:pPr>
      <w:r>
        <w:rPr>
          <w:rFonts w:hint="default" w:ascii="Times New Roman" w:hAnsi="Times New Roman" w:cs="Times New Roman"/>
          <w:sz w:val="24"/>
          <w:shd w:val="clear" w:color="auto" w:fill="FFFFFF"/>
        </w:rPr>
        <w:t>本标准对健康管理、数字化、数字终端、终端用户4个术语给出了定义。根据GB/T 1.1-2020对术语和定义的起草和表述要求，给出了术语的英文对应词。</w:t>
      </w:r>
    </w:p>
    <w:p>
      <w:pPr>
        <w:pStyle w:val="10"/>
        <w:rPr>
          <w:rFonts w:hint="default" w:ascii="Times New Roman" w:hAnsi="Times New Roman" w:cs="Times New Roman"/>
        </w:rPr>
      </w:pPr>
      <w:r>
        <w:rPr>
          <w:rFonts w:hint="default" w:ascii="Times New Roman" w:hAnsi="Times New Roman" w:cs="Times New Roman"/>
        </w:rPr>
        <w:t>5.4 基本原则</w:t>
      </w:r>
    </w:p>
    <w:p>
      <w:pPr>
        <w:spacing w:line="360" w:lineRule="auto"/>
        <w:ind w:firstLine="500" w:firstLineChars="200"/>
        <w:rPr>
          <w:rFonts w:ascii="Times New Roman"/>
          <w:bCs/>
          <w:spacing w:val="5"/>
          <w:sz w:val="24"/>
          <w:szCs w:val="24"/>
        </w:rPr>
      </w:pPr>
      <w:r>
        <w:rPr>
          <w:rFonts w:ascii="Times New Roman"/>
          <w:bCs/>
          <w:spacing w:val="5"/>
          <w:sz w:val="24"/>
          <w:szCs w:val="24"/>
        </w:rPr>
        <w:t>确定</w:t>
      </w:r>
      <w:r>
        <w:rPr>
          <w:rFonts w:hint="default" w:ascii="Times New Roman"/>
          <w:bCs/>
          <w:spacing w:val="5"/>
          <w:sz w:val="24"/>
          <w:szCs w:val="24"/>
        </w:rPr>
        <w:t>中小学生数字化健康管理</w:t>
      </w:r>
      <w:r>
        <w:rPr>
          <w:rFonts w:ascii="Times New Roman"/>
          <w:bCs/>
          <w:spacing w:val="5"/>
          <w:sz w:val="24"/>
          <w:szCs w:val="24"/>
        </w:rPr>
        <w:t>工作的开展需遵循</w:t>
      </w:r>
      <w:r>
        <w:rPr>
          <w:rFonts w:hint="default" w:ascii="Times New Roman"/>
          <w:bCs/>
          <w:spacing w:val="5"/>
          <w:sz w:val="24"/>
          <w:szCs w:val="24"/>
        </w:rPr>
        <w:t>安全性、风险管理、隐私保护、协作与协调及参与共享原则。</w:t>
      </w:r>
    </w:p>
    <w:p>
      <w:pPr>
        <w:spacing w:line="360" w:lineRule="auto"/>
        <w:ind w:firstLine="0" w:firstLineChars="0"/>
        <w:rPr>
          <w:rFonts w:hint="default" w:ascii="Times New Roman" w:hAnsi="Times New Roman" w:cs="Times New Roman"/>
          <w:bCs/>
          <w:spacing w:val="5"/>
          <w:sz w:val="24"/>
        </w:rPr>
      </w:pPr>
      <w:r>
        <w:rPr>
          <w:rFonts w:hint="default" w:ascii="Times New Roman" w:hAnsi="Times New Roman" w:cs="Times New Roman"/>
        </w:rPr>
        <w:t xml:space="preserve">5.5 </w:t>
      </w:r>
      <w:r>
        <w:rPr>
          <w:rFonts w:hint="default" w:ascii="Times New Roman" w:hAnsi="Times New Roman" w:cs="Times New Roman"/>
          <w:b/>
          <w:bCs/>
          <w:spacing w:val="5"/>
          <w:sz w:val="24"/>
        </w:rPr>
        <w:t>基础设施要求</w:t>
      </w:r>
    </w:p>
    <w:p>
      <w:pPr>
        <w:spacing w:line="360" w:lineRule="auto"/>
        <w:ind w:firstLine="500" w:firstLineChars="200"/>
        <w:rPr>
          <w:rFonts w:hint="default" w:ascii="Times New Roman" w:hAnsi="Times New Roman" w:cs="Times New Roman"/>
          <w:bCs/>
          <w:spacing w:val="5"/>
          <w:sz w:val="24"/>
        </w:rPr>
      </w:pPr>
      <w:r>
        <w:rPr>
          <w:rFonts w:hint="default" w:ascii="Times New Roman" w:hAnsi="Times New Roman" w:cs="Times New Roman"/>
          <w:bCs/>
          <w:spacing w:val="5"/>
          <w:sz w:val="24"/>
        </w:rPr>
        <w:t>规定了中小学术数字化健康管理的基础设施方面的要求，对网络基础设施、数字终端、数据管理过程、网络应用服务、离线单机环境的基础设施进行了具体的规范。</w:t>
      </w:r>
    </w:p>
    <w:p>
      <w:pPr>
        <w:spacing w:line="360" w:lineRule="auto"/>
        <w:ind w:firstLine="0" w:firstLineChars="0"/>
        <w:rPr>
          <w:rFonts w:hint="default" w:ascii="Times New Roman" w:hAnsi="Times New Roman" w:cs="Times New Roman"/>
          <w:b/>
          <w:bCs w:val="0"/>
          <w:spacing w:val="5"/>
          <w:sz w:val="24"/>
        </w:rPr>
      </w:pPr>
      <w:r>
        <w:rPr>
          <w:rFonts w:hint="eastAsia" w:cs="Times New Roman"/>
          <w:b/>
          <w:bCs w:val="0"/>
          <w:spacing w:val="5"/>
          <w:sz w:val="24"/>
          <w:lang w:val="en-US" w:eastAsia="zh-CN"/>
        </w:rPr>
        <w:t xml:space="preserve">5.6 </w:t>
      </w:r>
      <w:r>
        <w:rPr>
          <w:rFonts w:hint="default" w:ascii="Times New Roman" w:hAnsi="Times New Roman" w:cs="Times New Roman"/>
          <w:b/>
          <w:bCs w:val="0"/>
          <w:spacing w:val="5"/>
          <w:sz w:val="24"/>
        </w:rPr>
        <w:t>数字化健康管理服务</w:t>
      </w:r>
    </w:p>
    <w:p>
      <w:pPr>
        <w:spacing w:line="360" w:lineRule="auto"/>
        <w:ind w:firstLine="500" w:firstLineChars="200"/>
        <w:rPr>
          <w:rFonts w:hint="default" w:ascii="Times New Roman" w:hAnsi="Times New Roman" w:cs="Times New Roman"/>
          <w:bCs/>
          <w:spacing w:val="5"/>
          <w:sz w:val="24"/>
        </w:rPr>
      </w:pPr>
      <w:r>
        <w:rPr>
          <w:rFonts w:hint="eastAsia" w:cs="Times New Roman"/>
          <w:bCs/>
          <w:spacing w:val="5"/>
          <w:sz w:val="24"/>
          <w:lang w:val="en-US" w:eastAsia="zh-CN"/>
        </w:rPr>
        <w:t>本标准</w:t>
      </w:r>
      <w:r>
        <w:rPr>
          <w:rFonts w:hint="default" w:ascii="Times New Roman" w:hAnsi="Times New Roman" w:cs="Times New Roman"/>
          <w:bCs/>
          <w:spacing w:val="5"/>
          <w:sz w:val="24"/>
        </w:rPr>
        <w:t>对健康监测、健康评估、健康干预、追踪随访这四类数字化健康管理服务类型进行了具体的规定。</w:t>
      </w:r>
    </w:p>
    <w:p>
      <w:pPr>
        <w:spacing w:line="360" w:lineRule="auto"/>
        <w:ind w:firstLine="0" w:firstLineChars="0"/>
        <w:rPr>
          <w:rFonts w:hint="default" w:ascii="Times New Roman" w:hAnsi="Times New Roman" w:cs="Times New Roman"/>
          <w:b/>
          <w:bCs w:val="0"/>
          <w:spacing w:val="5"/>
          <w:sz w:val="24"/>
        </w:rPr>
      </w:pPr>
      <w:r>
        <w:rPr>
          <w:rFonts w:hint="eastAsia" w:cs="Times New Roman"/>
          <w:b/>
          <w:bCs w:val="0"/>
          <w:spacing w:val="5"/>
          <w:sz w:val="24"/>
          <w:lang w:val="en-US" w:eastAsia="zh-CN"/>
        </w:rPr>
        <w:t xml:space="preserve">5.7 </w:t>
      </w:r>
      <w:r>
        <w:rPr>
          <w:rFonts w:hint="default" w:ascii="Times New Roman" w:hAnsi="Times New Roman" w:cs="Times New Roman"/>
          <w:b/>
          <w:bCs w:val="0"/>
          <w:spacing w:val="5"/>
          <w:sz w:val="24"/>
        </w:rPr>
        <w:t>规范性评估</w:t>
      </w:r>
    </w:p>
    <w:p>
      <w:pPr>
        <w:spacing w:line="360" w:lineRule="auto"/>
        <w:ind w:firstLine="500" w:firstLineChars="200"/>
        <w:rPr>
          <w:rFonts w:hint="default" w:ascii="Times New Roman" w:hAnsi="Times New Roman" w:cs="Times New Roman"/>
          <w:bCs/>
          <w:spacing w:val="5"/>
          <w:sz w:val="24"/>
        </w:rPr>
      </w:pPr>
      <w:r>
        <w:rPr>
          <w:rFonts w:hint="eastAsia" w:cs="Times New Roman"/>
          <w:bCs/>
          <w:spacing w:val="5"/>
          <w:sz w:val="24"/>
          <w:lang w:val="en-US" w:eastAsia="zh-CN"/>
        </w:rPr>
        <w:t>本</w:t>
      </w:r>
      <w:r>
        <w:rPr>
          <w:rFonts w:hint="default" w:ascii="Times New Roman" w:hAnsi="Times New Roman" w:cs="Times New Roman"/>
          <w:bCs/>
          <w:spacing w:val="5"/>
          <w:sz w:val="24"/>
        </w:rPr>
        <w:t>标准对数字化健康管理实施情况的规范性评估做出了具体的要求，要求学校应对数字化健康管理实施的规范性情况依据附件进行自评，对于评估过程中发现的问题，应采取措施持续改进。</w:t>
      </w:r>
    </w:p>
    <w:p>
      <w:pPr>
        <w:spacing w:line="360" w:lineRule="auto"/>
        <w:ind w:firstLine="500" w:firstLineChars="200"/>
        <w:rPr>
          <w:rFonts w:hint="eastAsia" w:ascii="Times New Roman" w:hAnsi="Times New Roman" w:eastAsia="宋体" w:cs="Times New Roman"/>
          <w:bCs/>
          <w:spacing w:val="5"/>
          <w:sz w:val="24"/>
          <w:lang w:eastAsia="zh-CN"/>
        </w:rPr>
      </w:pPr>
      <w:r>
        <w:rPr>
          <w:rFonts w:hint="default" w:ascii="Times New Roman" w:hAnsi="Times New Roman" w:cs="Times New Roman"/>
          <w:bCs/>
          <w:spacing w:val="5"/>
          <w:sz w:val="24"/>
        </w:rPr>
        <w:t>附录A 为健康管理项目及规范性要求</w:t>
      </w:r>
      <w:r>
        <w:rPr>
          <w:rFonts w:hint="eastAsia" w:cs="Times New Roman"/>
          <w:bCs/>
          <w:spacing w:val="5"/>
          <w:sz w:val="24"/>
          <w:lang w:eastAsia="zh-CN"/>
        </w:rPr>
        <w:t>。</w:t>
      </w:r>
    </w:p>
    <w:p>
      <w:pPr>
        <w:spacing w:line="360" w:lineRule="auto"/>
        <w:ind w:firstLine="500" w:firstLineChars="200"/>
        <w:rPr>
          <w:rFonts w:hint="default" w:ascii="Times New Roman" w:hAnsi="Times New Roman" w:cs="Times New Roman"/>
          <w:bCs/>
          <w:spacing w:val="5"/>
          <w:sz w:val="24"/>
        </w:rPr>
      </w:pPr>
      <w:r>
        <w:rPr>
          <w:rFonts w:hint="default" w:ascii="Times New Roman" w:hAnsi="Times New Roman" w:cs="Times New Roman"/>
          <w:bCs/>
          <w:spacing w:val="5"/>
          <w:sz w:val="24"/>
        </w:rPr>
        <w:t>附录B 为健康监测数据收集范围。</w:t>
      </w:r>
    </w:p>
    <w:p>
      <w:pPr>
        <w:spacing w:line="360" w:lineRule="auto"/>
        <w:ind w:firstLine="480" w:firstLineChars="200"/>
        <w:rPr>
          <w:rFonts w:hint="default" w:ascii="Times New Roman" w:hAnsi="Times New Roman" w:cs="Times New Roman"/>
          <w:bCs/>
          <w:spacing w:val="5"/>
          <w:sz w:val="24"/>
        </w:rPr>
      </w:pPr>
      <w:r>
        <w:rPr>
          <w:rFonts w:hint="default" w:ascii="Times New Roman" w:hAnsi="Times New Roman" w:cs="Times New Roman"/>
          <w:sz w:val="24"/>
          <w:shd w:val="clear" w:color="auto" w:fill="FFFFFF"/>
        </w:rPr>
        <w:t>本标准的内容较详细全面、科学合理，适用于</w:t>
      </w:r>
      <w:r>
        <w:rPr>
          <w:rFonts w:hint="default" w:ascii="Times New Roman" w:hAnsi="Times New Roman" w:cs="Times New Roman"/>
          <w:sz w:val="24"/>
        </w:rPr>
        <w:t>普通中小学校、中等职业学校学生的数字化健康管理，高等院校适用时也可参照执行。</w:t>
      </w:r>
    </w:p>
    <w:p>
      <w:pPr>
        <w:spacing w:line="360" w:lineRule="auto"/>
        <w:ind w:firstLine="500" w:firstLineChars="200"/>
        <w:rPr>
          <w:rFonts w:hint="default" w:ascii="Times New Roman" w:hAnsi="Times New Roman" w:cs="Times New Roman"/>
          <w:bCs/>
          <w:spacing w:val="5"/>
          <w:sz w:val="24"/>
        </w:rPr>
      </w:pPr>
    </w:p>
    <w:p>
      <w:pPr>
        <w:spacing w:line="58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六、重大分歧意见的处理过程和依据</w:t>
      </w:r>
    </w:p>
    <w:p>
      <w:pPr>
        <w:spacing w:line="580" w:lineRule="exact"/>
        <w:ind w:firstLine="480" w:firstLineChars="200"/>
        <w:rPr>
          <w:rFonts w:hint="default" w:ascii="Times New Roman" w:hAnsi="Times New Roman" w:cs="Times New Roman"/>
          <w:sz w:val="24"/>
        </w:rPr>
      </w:pPr>
      <w:r>
        <w:rPr>
          <w:rFonts w:hint="default" w:ascii="Times New Roman" w:hAnsi="Times New Roman" w:cs="Times New Roman"/>
          <w:sz w:val="24"/>
        </w:rPr>
        <w:t>无</w:t>
      </w:r>
    </w:p>
    <w:p>
      <w:pPr>
        <w:spacing w:line="580" w:lineRule="exact"/>
        <w:ind w:firstLine="640" w:firstLineChars="200"/>
        <w:rPr>
          <w:rFonts w:hint="default" w:ascii="Times New Roman" w:hAnsi="Times New Roman" w:eastAsia="方正仿宋_GBK" w:cs="Times New Roman"/>
          <w:sz w:val="32"/>
          <w:szCs w:val="32"/>
        </w:rPr>
      </w:pPr>
    </w:p>
    <w:p>
      <w:pPr>
        <w:spacing w:line="58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七、与相关法律法规和国家标准的关系</w:t>
      </w:r>
    </w:p>
    <w:p>
      <w:pPr>
        <w:spacing w:line="360" w:lineRule="auto"/>
        <w:ind w:firstLine="500" w:firstLineChars="200"/>
        <w:rPr>
          <w:rFonts w:hint="default" w:ascii="Times New Roman" w:hAnsi="Times New Roman" w:cs="Times New Roman"/>
          <w:sz w:val="24"/>
        </w:rPr>
      </w:pPr>
      <w:r>
        <w:rPr>
          <w:rFonts w:hint="default" w:ascii="Times New Roman" w:hAnsi="Times New Roman" w:cs="Times New Roman"/>
          <w:bCs/>
          <w:spacing w:val="5"/>
          <w:sz w:val="24"/>
        </w:rPr>
        <w:t>目前国内外尚没有相关的国际标准、国家标准或行业标准，与现行的法律、法规无冲突和违背。本标准整合了多项</w:t>
      </w:r>
      <w:r>
        <w:rPr>
          <w:rFonts w:hint="default" w:ascii="Times New Roman" w:hAnsi="Times New Roman" w:cs="Times New Roman"/>
          <w:sz w:val="24"/>
        </w:rPr>
        <w:t>国家标准或指南形成资料性附录，规定了数字化健康管理过程中应遵循的要求，同时参考国家法规文件要求，与国家法规、标准规范与指南一致性没有任何的冲突。本标准可作为现有相关标准体系的完善和提高。</w:t>
      </w:r>
    </w:p>
    <w:p>
      <w:pPr>
        <w:spacing w:line="360" w:lineRule="auto"/>
        <w:ind w:firstLine="480" w:firstLineChars="200"/>
        <w:rPr>
          <w:rFonts w:hint="default" w:ascii="Times New Roman" w:hAnsi="Times New Roman" w:cs="Times New Roman"/>
          <w:sz w:val="24"/>
        </w:rPr>
      </w:pPr>
    </w:p>
    <w:p>
      <w:pPr>
        <w:spacing w:line="58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八、推广实施建议</w:t>
      </w:r>
    </w:p>
    <w:p>
      <w:pPr>
        <w:adjustRightInd w:val="0"/>
        <w:spacing w:line="360" w:lineRule="auto"/>
        <w:rPr>
          <w:rFonts w:hint="default" w:ascii="Times New Roman" w:hAnsi="Times New Roman" w:cs="Times New Roman"/>
          <w:b/>
          <w:bCs/>
          <w:sz w:val="24"/>
        </w:rPr>
      </w:pPr>
      <w:r>
        <w:rPr>
          <w:rFonts w:hint="default" w:ascii="Times New Roman" w:hAnsi="Times New Roman" w:cs="Times New Roman"/>
          <w:b/>
          <w:bCs/>
          <w:sz w:val="24"/>
        </w:rPr>
        <w:t>8.1 标准适用领域及地域</w:t>
      </w:r>
    </w:p>
    <w:p>
      <w:pPr>
        <w:numPr>
          <w:ilvl w:val="0"/>
          <w:numId w:val="0"/>
        </w:numPr>
        <w:adjustRightInd w:val="0"/>
        <w:spacing w:line="360" w:lineRule="auto"/>
        <w:ind w:left="210" w:leftChars="100" w:firstLine="0" w:firstLineChars="0"/>
        <w:rPr>
          <w:rFonts w:hint="default" w:ascii="Times New Roman" w:hAnsi="Times New Roman" w:cs="Times New Roman"/>
          <w:sz w:val="24"/>
          <w:shd w:val="clear" w:color="auto" w:fill="FFFFFF"/>
        </w:rPr>
      </w:pPr>
      <w:r>
        <w:rPr>
          <w:rFonts w:hint="eastAsia" w:cs="Times New Roman"/>
          <w:sz w:val="24"/>
          <w:shd w:val="clear" w:color="auto" w:fill="FFFFFF"/>
          <w:lang w:val="en-US" w:eastAsia="zh-CN"/>
        </w:rPr>
        <w:t>（1）</w:t>
      </w:r>
      <w:r>
        <w:rPr>
          <w:rFonts w:hint="default" w:ascii="Times New Roman" w:hAnsi="Times New Roman" w:cs="Times New Roman"/>
          <w:sz w:val="24"/>
          <w:shd w:val="clear" w:color="auto" w:fill="FFFFFF"/>
        </w:rPr>
        <w:t>本标准适用于：普通中小学校、中等职业学校的中小学生的数字化健康管理，高等院校适用时也可参照执行。</w:t>
      </w:r>
    </w:p>
    <w:p>
      <w:pPr>
        <w:numPr>
          <w:ilvl w:val="0"/>
          <w:numId w:val="0"/>
        </w:numPr>
        <w:adjustRightInd w:val="0"/>
        <w:spacing w:line="360" w:lineRule="auto"/>
        <w:ind w:left="210" w:leftChars="100" w:firstLine="0" w:firstLineChars="0"/>
        <w:rPr>
          <w:rFonts w:hint="default" w:ascii="Times New Roman" w:hAnsi="Times New Roman" w:cs="Times New Roman"/>
          <w:sz w:val="24"/>
          <w:shd w:val="clear" w:color="auto" w:fill="FFFFFF"/>
        </w:rPr>
      </w:pPr>
      <w:r>
        <w:rPr>
          <w:rFonts w:hint="eastAsia" w:cs="Times New Roman"/>
          <w:sz w:val="24"/>
          <w:shd w:val="clear" w:color="auto" w:fill="FFFFFF"/>
          <w:lang w:eastAsia="zh-CN"/>
        </w:rPr>
        <w:t>（</w:t>
      </w:r>
      <w:r>
        <w:rPr>
          <w:rFonts w:hint="eastAsia" w:cs="Times New Roman"/>
          <w:sz w:val="24"/>
          <w:shd w:val="clear" w:color="auto" w:fill="FFFFFF"/>
          <w:lang w:val="en-US" w:eastAsia="zh-CN"/>
        </w:rPr>
        <w:t>2</w:t>
      </w:r>
      <w:r>
        <w:rPr>
          <w:rFonts w:hint="eastAsia" w:cs="Times New Roman"/>
          <w:sz w:val="24"/>
          <w:shd w:val="clear" w:color="auto" w:fill="FFFFFF"/>
          <w:lang w:eastAsia="zh-CN"/>
        </w:rPr>
        <w:t>）</w:t>
      </w:r>
      <w:r>
        <w:rPr>
          <w:rFonts w:hint="default" w:ascii="Times New Roman" w:hAnsi="Times New Roman" w:cs="Times New Roman"/>
          <w:sz w:val="24"/>
          <w:shd w:val="clear" w:color="auto" w:fill="FFFFFF"/>
        </w:rPr>
        <w:t>本标准是推荐性地方标准。</w:t>
      </w:r>
    </w:p>
    <w:p>
      <w:pPr>
        <w:adjustRightInd w:val="0"/>
        <w:spacing w:line="360" w:lineRule="auto"/>
        <w:rPr>
          <w:rFonts w:hint="default" w:ascii="Times New Roman" w:hAnsi="Times New Roman" w:cs="Times New Roman"/>
          <w:b/>
          <w:bCs/>
          <w:sz w:val="24"/>
        </w:rPr>
      </w:pPr>
      <w:r>
        <w:rPr>
          <w:rFonts w:hint="default" w:ascii="Times New Roman" w:hAnsi="Times New Roman" w:cs="Times New Roman"/>
          <w:b/>
          <w:bCs/>
          <w:sz w:val="24"/>
        </w:rPr>
        <w:t>8.2 注意事项</w:t>
      </w:r>
    </w:p>
    <w:p>
      <w:pPr>
        <w:snapToGrid w:val="0"/>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本标准是江苏省中小学生数字化健康管理实践经验的总结提炼，具有科学性、实用性的特点，对开展中小学生数字化健康管理具有完整的指导意义。</w:t>
      </w:r>
    </w:p>
    <w:p>
      <w:pPr>
        <w:snapToGrid w:val="0"/>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本标准起草单位东南大学会对本标准进行全面释义，在标准发布以后，组织宣贯、培训，更好服务于江苏省中小学生数字化健康管理工作。</w:t>
      </w:r>
    </w:p>
    <w:p>
      <w:pPr>
        <w:snapToGrid w:val="0"/>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我省普通中小学校、中等职业学校应严格贯彻执行本标准，落实好各项相关条款。为了保证标准的贯彻执行，具体要求有：</w:t>
      </w:r>
    </w:p>
    <w:p>
      <w:pPr>
        <w:numPr>
          <w:ilvl w:val="0"/>
          <w:numId w:val="0"/>
        </w:numPr>
        <w:snapToGrid w:val="0"/>
        <w:spacing w:line="360" w:lineRule="auto"/>
        <w:ind w:left="210" w:leftChars="100"/>
        <w:rPr>
          <w:rFonts w:hint="default" w:ascii="Times New Roman" w:hAnsi="Times New Roman" w:cs="Times New Roman"/>
          <w:sz w:val="24"/>
        </w:rPr>
      </w:pPr>
      <w:r>
        <w:rPr>
          <w:rFonts w:hint="eastAsia" w:cs="Times New Roman"/>
          <w:sz w:val="24"/>
          <w:lang w:eastAsia="zh-CN"/>
        </w:rPr>
        <w:t>（</w:t>
      </w:r>
      <w:r>
        <w:rPr>
          <w:rFonts w:hint="eastAsia" w:cs="Times New Roman"/>
          <w:sz w:val="24"/>
          <w:lang w:val="en-US" w:eastAsia="zh-CN"/>
        </w:rPr>
        <w:t>1</w:t>
      </w:r>
      <w:r>
        <w:rPr>
          <w:rFonts w:hint="eastAsia" w:cs="Times New Roman"/>
          <w:sz w:val="24"/>
          <w:lang w:eastAsia="zh-CN"/>
        </w:rPr>
        <w:t>）</w:t>
      </w:r>
      <w:r>
        <w:rPr>
          <w:rFonts w:hint="default" w:ascii="Times New Roman" w:hAnsi="Times New Roman" w:cs="Times New Roman"/>
          <w:sz w:val="24"/>
        </w:rPr>
        <w:t>对标准进行必要的宣传；</w:t>
      </w:r>
    </w:p>
    <w:p>
      <w:pPr>
        <w:numPr>
          <w:ilvl w:val="0"/>
          <w:numId w:val="0"/>
        </w:numPr>
        <w:snapToGrid w:val="0"/>
        <w:spacing w:line="360" w:lineRule="auto"/>
        <w:ind w:left="210" w:leftChars="100"/>
        <w:rPr>
          <w:rFonts w:hint="default" w:ascii="Times New Roman" w:hAnsi="Times New Roman" w:cs="Times New Roman"/>
          <w:sz w:val="24"/>
        </w:rPr>
      </w:pPr>
      <w:r>
        <w:rPr>
          <w:rFonts w:hint="eastAsia" w:cs="Times New Roman"/>
          <w:sz w:val="24"/>
          <w:lang w:eastAsia="zh-CN"/>
        </w:rPr>
        <w:t>（</w:t>
      </w:r>
      <w:r>
        <w:rPr>
          <w:rFonts w:hint="eastAsia" w:cs="Times New Roman"/>
          <w:sz w:val="24"/>
          <w:lang w:val="en-US" w:eastAsia="zh-CN"/>
        </w:rPr>
        <w:t>2</w:t>
      </w:r>
      <w:r>
        <w:rPr>
          <w:rFonts w:hint="eastAsia" w:cs="Times New Roman"/>
          <w:sz w:val="24"/>
          <w:lang w:eastAsia="zh-CN"/>
        </w:rPr>
        <w:t>）</w:t>
      </w:r>
      <w:r>
        <w:rPr>
          <w:rFonts w:hint="default" w:ascii="Times New Roman" w:hAnsi="Times New Roman" w:cs="Times New Roman"/>
          <w:sz w:val="24"/>
        </w:rPr>
        <w:t>数字化健康管理应遵循相关法律法规和伦理规范，保护用户隐私和数据安全；</w:t>
      </w:r>
    </w:p>
    <w:p>
      <w:pPr>
        <w:numPr>
          <w:ilvl w:val="0"/>
          <w:numId w:val="0"/>
        </w:numPr>
        <w:spacing w:line="360" w:lineRule="auto"/>
        <w:ind w:left="210" w:leftChars="100"/>
        <w:rPr>
          <w:rFonts w:hint="default" w:ascii="Times New Roman" w:hAnsi="Times New Roman" w:cs="Times New Roman"/>
          <w:sz w:val="24"/>
        </w:rPr>
      </w:pPr>
      <w:r>
        <w:rPr>
          <w:rFonts w:hint="eastAsia" w:cs="Times New Roman"/>
          <w:sz w:val="24"/>
          <w:lang w:eastAsia="zh-CN"/>
        </w:rPr>
        <w:t>（</w:t>
      </w:r>
      <w:r>
        <w:rPr>
          <w:rFonts w:hint="eastAsia" w:cs="Times New Roman"/>
          <w:sz w:val="24"/>
          <w:lang w:val="en-US" w:eastAsia="zh-CN"/>
        </w:rPr>
        <w:t>3</w:t>
      </w:r>
      <w:r>
        <w:rPr>
          <w:rFonts w:hint="eastAsia" w:cs="Times New Roman"/>
          <w:sz w:val="24"/>
          <w:lang w:eastAsia="zh-CN"/>
        </w:rPr>
        <w:t>）</w:t>
      </w:r>
      <w:r>
        <w:rPr>
          <w:rFonts w:hint="default" w:ascii="Times New Roman" w:hAnsi="Times New Roman" w:cs="Times New Roman"/>
          <w:sz w:val="24"/>
        </w:rPr>
        <w:t>实践中不断检验，总结相关经验，持续提升江苏省中小学生数字化健康管理规范性水平。</w:t>
      </w:r>
    </w:p>
    <w:p>
      <w:pPr>
        <w:spacing w:line="360" w:lineRule="auto"/>
        <w:rPr>
          <w:rFonts w:hint="default" w:ascii="Times New Roman" w:hAnsi="Times New Roman" w:cs="Times New Roman"/>
          <w:sz w:val="24"/>
        </w:rPr>
      </w:pPr>
    </w:p>
    <w:p>
      <w:pPr>
        <w:spacing w:line="58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九、起草单位和起草人员信息及分工</w:t>
      </w:r>
    </w:p>
    <w:p>
      <w:pPr>
        <w:spacing w:line="360" w:lineRule="auto"/>
        <w:ind w:firstLine="480" w:firstLineChars="200"/>
        <w:rPr>
          <w:rFonts w:hint="default" w:ascii="Times New Roman" w:hAnsi="Times New Roman" w:cs="Times New Roman"/>
          <w:b/>
          <w:sz w:val="24"/>
          <w:shd w:val="clear" w:color="auto" w:fill="FFFFFF"/>
        </w:rPr>
      </w:pPr>
      <w:r>
        <w:rPr>
          <w:rFonts w:hint="default" w:ascii="Times New Roman" w:hAnsi="Times New Roman" w:cs="Times New Roman"/>
          <w:sz w:val="24"/>
          <w:shd w:val="clear" w:color="auto" w:fill="FFFFFF"/>
        </w:rPr>
        <w:t>起草单位由东南大学、江苏省疾病预防控制中心、盐城市疾病预防控制中心、南京市疾病预防控制中心、连云港市疾病预防控制中心、镇江市疾病预防控制中心组成，起草人员信息及分工见下表：</w:t>
      </w:r>
    </w:p>
    <w:tbl>
      <w:tblPr>
        <w:tblStyle w:val="5"/>
        <w:tblW w:w="86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0"/>
        <w:gridCol w:w="3311"/>
        <w:gridCol w:w="1418"/>
        <w:gridCol w:w="2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0" w:type="dxa"/>
            <w:shd w:val="clear" w:color="auto" w:fill="auto"/>
          </w:tcPr>
          <w:p>
            <w:pPr>
              <w:autoSpaceDE w:val="0"/>
              <w:autoSpaceDN w:val="0"/>
              <w:adjustRightInd w:val="0"/>
              <w:spacing w:line="360" w:lineRule="auto"/>
              <w:jc w:val="center"/>
              <w:rPr>
                <w:rFonts w:hint="default" w:ascii="Times New Roman" w:hAnsi="Times New Roman" w:cs="Times New Roman"/>
                <w:b/>
                <w:sz w:val="24"/>
              </w:rPr>
            </w:pPr>
            <w:r>
              <w:rPr>
                <w:rFonts w:hint="default" w:ascii="Times New Roman" w:hAnsi="Times New Roman" w:cs="Times New Roman"/>
                <w:b/>
                <w:sz w:val="24"/>
              </w:rPr>
              <w:t>姓名</w:t>
            </w:r>
          </w:p>
        </w:tc>
        <w:tc>
          <w:tcPr>
            <w:tcW w:w="3311" w:type="dxa"/>
            <w:shd w:val="clear" w:color="auto" w:fill="auto"/>
          </w:tcPr>
          <w:p>
            <w:pPr>
              <w:autoSpaceDE w:val="0"/>
              <w:autoSpaceDN w:val="0"/>
              <w:adjustRightInd w:val="0"/>
              <w:spacing w:line="360" w:lineRule="auto"/>
              <w:jc w:val="center"/>
              <w:rPr>
                <w:rFonts w:hint="default" w:ascii="Times New Roman" w:hAnsi="Times New Roman" w:cs="Times New Roman"/>
                <w:b/>
                <w:sz w:val="24"/>
              </w:rPr>
            </w:pPr>
            <w:r>
              <w:rPr>
                <w:rFonts w:hint="default" w:ascii="Times New Roman" w:hAnsi="Times New Roman" w:cs="Times New Roman"/>
                <w:b/>
                <w:sz w:val="24"/>
              </w:rPr>
              <w:t>单位</w:t>
            </w:r>
          </w:p>
        </w:tc>
        <w:tc>
          <w:tcPr>
            <w:tcW w:w="1418" w:type="dxa"/>
            <w:shd w:val="clear" w:color="auto" w:fill="auto"/>
          </w:tcPr>
          <w:p>
            <w:pPr>
              <w:autoSpaceDE w:val="0"/>
              <w:autoSpaceDN w:val="0"/>
              <w:adjustRightInd w:val="0"/>
              <w:spacing w:line="360" w:lineRule="auto"/>
              <w:jc w:val="center"/>
              <w:rPr>
                <w:rFonts w:hint="default" w:ascii="Times New Roman" w:hAnsi="Times New Roman" w:cs="Times New Roman"/>
                <w:b/>
                <w:sz w:val="24"/>
              </w:rPr>
            </w:pPr>
            <w:r>
              <w:rPr>
                <w:rFonts w:hint="default" w:ascii="Times New Roman" w:hAnsi="Times New Roman" w:cs="Times New Roman"/>
                <w:b/>
                <w:sz w:val="24"/>
              </w:rPr>
              <w:t>职称</w:t>
            </w:r>
          </w:p>
        </w:tc>
        <w:tc>
          <w:tcPr>
            <w:tcW w:w="2219" w:type="dxa"/>
            <w:shd w:val="clear" w:color="auto" w:fill="auto"/>
          </w:tcPr>
          <w:p>
            <w:pPr>
              <w:autoSpaceDE w:val="0"/>
              <w:autoSpaceDN w:val="0"/>
              <w:adjustRightInd w:val="0"/>
              <w:spacing w:line="360" w:lineRule="auto"/>
              <w:jc w:val="center"/>
              <w:rPr>
                <w:rFonts w:hint="default" w:ascii="Times New Roman" w:hAnsi="Times New Roman" w:cs="Times New Roman"/>
                <w:b/>
                <w:sz w:val="24"/>
              </w:rPr>
            </w:pPr>
            <w:r>
              <w:rPr>
                <w:rFonts w:hint="default" w:ascii="Times New Roman" w:hAnsi="Times New Roman" w:cs="Times New Roman"/>
                <w:b/>
                <w:sz w:val="24"/>
              </w:rPr>
              <w:t>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0" w:type="dxa"/>
            <w:shd w:val="clear" w:color="auto" w:fill="auto"/>
          </w:tcPr>
          <w:p>
            <w:pPr>
              <w:autoSpaceDE w:val="0"/>
              <w:autoSpaceDN w:val="0"/>
              <w:adjustRightInd w:val="0"/>
              <w:spacing w:line="360" w:lineRule="auto"/>
              <w:jc w:val="center"/>
              <w:rPr>
                <w:rFonts w:hint="default" w:ascii="Times New Roman" w:hAnsi="Times New Roman" w:cs="Times New Roman"/>
                <w:bCs/>
                <w:sz w:val="24"/>
              </w:rPr>
            </w:pPr>
            <w:r>
              <w:rPr>
                <w:rFonts w:hint="default" w:ascii="Times New Roman" w:hAnsi="Times New Roman" w:cs="Times New Roman"/>
                <w:bCs/>
                <w:sz w:val="24"/>
              </w:rPr>
              <w:t>杜伟</w:t>
            </w:r>
          </w:p>
        </w:tc>
        <w:tc>
          <w:tcPr>
            <w:tcW w:w="3311" w:type="dxa"/>
            <w:shd w:val="clear" w:color="auto" w:fill="auto"/>
          </w:tcPr>
          <w:p>
            <w:pPr>
              <w:autoSpaceDE w:val="0"/>
              <w:autoSpaceDN w:val="0"/>
              <w:adjustRightInd w:val="0"/>
              <w:spacing w:line="360" w:lineRule="auto"/>
              <w:jc w:val="center"/>
              <w:rPr>
                <w:rFonts w:hint="default" w:ascii="Times New Roman" w:hAnsi="Times New Roman" w:cs="Times New Roman"/>
                <w:bCs/>
                <w:sz w:val="24"/>
              </w:rPr>
            </w:pPr>
            <w:r>
              <w:rPr>
                <w:rFonts w:hint="default" w:ascii="Times New Roman" w:hAnsi="Times New Roman" w:cs="Times New Roman"/>
                <w:bCs/>
                <w:sz w:val="24"/>
              </w:rPr>
              <w:t>东南大学</w:t>
            </w:r>
          </w:p>
        </w:tc>
        <w:tc>
          <w:tcPr>
            <w:tcW w:w="1418" w:type="dxa"/>
            <w:shd w:val="clear" w:color="auto" w:fill="auto"/>
          </w:tcPr>
          <w:p>
            <w:pPr>
              <w:autoSpaceDE w:val="0"/>
              <w:autoSpaceDN w:val="0"/>
              <w:adjustRightInd w:val="0"/>
              <w:spacing w:line="360" w:lineRule="auto"/>
              <w:jc w:val="center"/>
              <w:rPr>
                <w:rFonts w:hint="default" w:ascii="Times New Roman" w:hAnsi="Times New Roman" w:cs="Times New Roman"/>
                <w:bCs/>
                <w:sz w:val="24"/>
              </w:rPr>
            </w:pPr>
            <w:r>
              <w:rPr>
                <w:rFonts w:hint="default" w:ascii="Times New Roman" w:hAnsi="Times New Roman" w:cs="Times New Roman"/>
                <w:bCs/>
                <w:sz w:val="24"/>
              </w:rPr>
              <w:t>教授</w:t>
            </w:r>
          </w:p>
        </w:tc>
        <w:tc>
          <w:tcPr>
            <w:tcW w:w="2219" w:type="dxa"/>
            <w:shd w:val="clear" w:color="auto" w:fill="auto"/>
          </w:tcPr>
          <w:p>
            <w:pPr>
              <w:autoSpaceDE w:val="0"/>
              <w:autoSpaceDN w:val="0"/>
              <w:adjustRightInd w:val="0"/>
              <w:spacing w:line="360" w:lineRule="auto"/>
              <w:jc w:val="center"/>
              <w:rPr>
                <w:rFonts w:hint="default" w:ascii="Times New Roman" w:hAnsi="Times New Roman" w:cs="Times New Roman"/>
                <w:bCs/>
                <w:sz w:val="24"/>
              </w:rPr>
            </w:pPr>
            <w:r>
              <w:rPr>
                <w:rFonts w:hint="default" w:ascii="Times New Roman" w:hAnsi="Times New Roman" w:cs="Times New Roman"/>
                <w:bCs/>
                <w:sz w:val="24"/>
              </w:rPr>
              <w:t>全面负责标准起草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0" w:type="dxa"/>
            <w:shd w:val="clear" w:color="auto" w:fill="auto"/>
          </w:tcPr>
          <w:p>
            <w:pPr>
              <w:autoSpaceDE w:val="0"/>
              <w:autoSpaceDN w:val="0"/>
              <w:adjustRightInd w:val="0"/>
              <w:spacing w:line="360" w:lineRule="auto"/>
              <w:jc w:val="center"/>
              <w:rPr>
                <w:rFonts w:hint="default" w:ascii="Times New Roman" w:hAnsi="Times New Roman" w:cs="Times New Roman"/>
                <w:bCs/>
                <w:sz w:val="24"/>
              </w:rPr>
            </w:pPr>
            <w:r>
              <w:rPr>
                <w:rFonts w:hint="default" w:ascii="Times New Roman" w:hAnsi="Times New Roman" w:cs="Times New Roman"/>
                <w:bCs/>
                <w:sz w:val="24"/>
              </w:rPr>
              <w:t>周永林</w:t>
            </w:r>
          </w:p>
        </w:tc>
        <w:tc>
          <w:tcPr>
            <w:tcW w:w="3311" w:type="dxa"/>
            <w:shd w:val="clear" w:color="auto" w:fill="auto"/>
          </w:tcPr>
          <w:p>
            <w:pPr>
              <w:autoSpaceDE w:val="0"/>
              <w:autoSpaceDN w:val="0"/>
              <w:adjustRightInd w:val="0"/>
              <w:spacing w:line="360" w:lineRule="auto"/>
              <w:jc w:val="center"/>
              <w:rPr>
                <w:rFonts w:hint="default" w:ascii="Times New Roman" w:hAnsi="Times New Roman" w:cs="Times New Roman"/>
                <w:bCs/>
                <w:sz w:val="24"/>
              </w:rPr>
            </w:pPr>
            <w:r>
              <w:rPr>
                <w:rFonts w:hint="default" w:ascii="Times New Roman" w:hAnsi="Times New Roman" w:cs="Times New Roman"/>
                <w:bCs/>
                <w:sz w:val="24"/>
              </w:rPr>
              <w:t>江苏省疾病预防控制中心</w:t>
            </w:r>
          </w:p>
        </w:tc>
        <w:tc>
          <w:tcPr>
            <w:tcW w:w="1418" w:type="dxa"/>
            <w:shd w:val="clear" w:color="auto" w:fill="auto"/>
          </w:tcPr>
          <w:p>
            <w:pPr>
              <w:autoSpaceDE w:val="0"/>
              <w:autoSpaceDN w:val="0"/>
              <w:adjustRightInd w:val="0"/>
              <w:spacing w:line="360" w:lineRule="auto"/>
              <w:jc w:val="center"/>
              <w:rPr>
                <w:rFonts w:hint="default" w:ascii="Times New Roman" w:hAnsi="Times New Roman" w:cs="Times New Roman"/>
                <w:bCs/>
                <w:sz w:val="24"/>
              </w:rPr>
            </w:pPr>
            <w:r>
              <w:rPr>
                <w:rFonts w:hint="default" w:ascii="Times New Roman" w:hAnsi="Times New Roman" w:cs="Times New Roman"/>
                <w:bCs/>
                <w:sz w:val="24"/>
              </w:rPr>
              <w:t>主任医师</w:t>
            </w:r>
          </w:p>
        </w:tc>
        <w:tc>
          <w:tcPr>
            <w:tcW w:w="2219" w:type="dxa"/>
            <w:shd w:val="clear" w:color="auto" w:fill="auto"/>
          </w:tcPr>
          <w:p>
            <w:pPr>
              <w:autoSpaceDE w:val="0"/>
              <w:autoSpaceDN w:val="0"/>
              <w:adjustRightInd w:val="0"/>
              <w:spacing w:line="360" w:lineRule="auto"/>
              <w:jc w:val="center"/>
              <w:rPr>
                <w:rFonts w:hint="default" w:ascii="Times New Roman" w:hAnsi="Times New Roman" w:cs="Times New Roman"/>
                <w:bCs/>
                <w:sz w:val="24"/>
              </w:rPr>
            </w:pPr>
            <w:r>
              <w:rPr>
                <w:rFonts w:hint="default" w:ascii="Times New Roman" w:hAnsi="Times New Roman" w:cs="Times New Roman"/>
                <w:bCs/>
                <w:sz w:val="24"/>
              </w:rPr>
              <w:t>技术指导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0" w:type="dxa"/>
            <w:shd w:val="clear" w:color="auto" w:fill="auto"/>
          </w:tcPr>
          <w:p>
            <w:pPr>
              <w:autoSpaceDE w:val="0"/>
              <w:autoSpaceDN w:val="0"/>
              <w:adjustRightInd w:val="0"/>
              <w:spacing w:line="360" w:lineRule="auto"/>
              <w:jc w:val="center"/>
              <w:rPr>
                <w:rFonts w:hint="default" w:ascii="Times New Roman" w:hAnsi="Times New Roman" w:cs="Times New Roman"/>
                <w:bCs/>
                <w:sz w:val="24"/>
              </w:rPr>
            </w:pPr>
            <w:r>
              <w:rPr>
                <w:rFonts w:hint="default" w:ascii="Times New Roman" w:hAnsi="Times New Roman" w:cs="Times New Roman"/>
                <w:bCs/>
                <w:sz w:val="24"/>
              </w:rPr>
              <w:t>杨婕</w:t>
            </w:r>
          </w:p>
        </w:tc>
        <w:tc>
          <w:tcPr>
            <w:tcW w:w="3311" w:type="dxa"/>
            <w:shd w:val="clear" w:color="auto" w:fill="auto"/>
          </w:tcPr>
          <w:p>
            <w:pPr>
              <w:autoSpaceDE w:val="0"/>
              <w:autoSpaceDN w:val="0"/>
              <w:adjustRightInd w:val="0"/>
              <w:spacing w:line="360" w:lineRule="auto"/>
              <w:jc w:val="center"/>
              <w:rPr>
                <w:rFonts w:hint="default" w:ascii="Times New Roman" w:hAnsi="Times New Roman" w:cs="Times New Roman"/>
                <w:bCs/>
                <w:sz w:val="24"/>
              </w:rPr>
            </w:pPr>
            <w:r>
              <w:rPr>
                <w:rFonts w:hint="default" w:ascii="Times New Roman" w:hAnsi="Times New Roman" w:cs="Times New Roman"/>
                <w:bCs/>
                <w:sz w:val="24"/>
              </w:rPr>
              <w:t>江苏省疾病预防控制中心</w:t>
            </w:r>
          </w:p>
          <w:p>
            <w:pPr>
              <w:autoSpaceDE w:val="0"/>
              <w:autoSpaceDN w:val="0"/>
              <w:adjustRightInd w:val="0"/>
              <w:spacing w:line="360" w:lineRule="auto"/>
              <w:jc w:val="center"/>
              <w:rPr>
                <w:rFonts w:hint="default" w:ascii="Times New Roman" w:hAnsi="Times New Roman" w:eastAsia="宋体" w:cs="Times New Roman"/>
                <w:bCs/>
                <w:sz w:val="24"/>
                <w:lang w:val="en-US" w:eastAsia="zh-CN"/>
              </w:rPr>
            </w:pPr>
            <w:r>
              <w:rPr>
                <w:rFonts w:hint="eastAsia" w:cs="Times New Roman"/>
                <w:bCs/>
                <w:sz w:val="24"/>
                <w:lang w:val="en-US" w:eastAsia="zh-CN"/>
              </w:rPr>
              <w:t>南京医科大学</w:t>
            </w:r>
          </w:p>
        </w:tc>
        <w:tc>
          <w:tcPr>
            <w:tcW w:w="1418" w:type="dxa"/>
            <w:shd w:val="clear" w:color="auto" w:fill="auto"/>
          </w:tcPr>
          <w:p>
            <w:pPr>
              <w:autoSpaceDE w:val="0"/>
              <w:autoSpaceDN w:val="0"/>
              <w:adjustRightInd w:val="0"/>
              <w:spacing w:line="360" w:lineRule="auto"/>
              <w:jc w:val="center"/>
              <w:rPr>
                <w:rFonts w:hint="default" w:ascii="Times New Roman" w:hAnsi="Times New Roman" w:cs="Times New Roman"/>
                <w:bCs/>
                <w:sz w:val="24"/>
              </w:rPr>
            </w:pPr>
            <w:r>
              <w:rPr>
                <w:rFonts w:hint="default" w:ascii="Times New Roman" w:hAnsi="Times New Roman" w:cs="Times New Roman"/>
                <w:bCs/>
                <w:sz w:val="24"/>
              </w:rPr>
              <w:t>主任医师</w:t>
            </w:r>
          </w:p>
        </w:tc>
        <w:tc>
          <w:tcPr>
            <w:tcW w:w="2219" w:type="dxa"/>
            <w:shd w:val="clear" w:color="auto" w:fill="auto"/>
          </w:tcPr>
          <w:p>
            <w:pPr>
              <w:autoSpaceDE w:val="0"/>
              <w:autoSpaceDN w:val="0"/>
              <w:adjustRightInd w:val="0"/>
              <w:spacing w:line="360" w:lineRule="auto"/>
              <w:jc w:val="center"/>
              <w:rPr>
                <w:rFonts w:hint="default" w:ascii="Times New Roman" w:hAnsi="Times New Roman" w:cs="Times New Roman"/>
                <w:bCs/>
                <w:sz w:val="24"/>
              </w:rPr>
            </w:pPr>
            <w:r>
              <w:rPr>
                <w:rFonts w:hint="default" w:ascii="Times New Roman" w:hAnsi="Times New Roman" w:cs="Times New Roman"/>
                <w:bCs/>
                <w:sz w:val="24"/>
              </w:rPr>
              <w:t>技术指导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0" w:type="dxa"/>
            <w:shd w:val="clear" w:color="auto" w:fill="auto"/>
          </w:tcPr>
          <w:p>
            <w:pPr>
              <w:autoSpaceDE w:val="0"/>
              <w:autoSpaceDN w:val="0"/>
              <w:adjustRightInd w:val="0"/>
              <w:spacing w:line="360" w:lineRule="auto"/>
              <w:jc w:val="center"/>
              <w:rPr>
                <w:rFonts w:hint="default" w:ascii="Times New Roman" w:hAnsi="Times New Roman" w:cs="Times New Roman"/>
                <w:bCs/>
                <w:sz w:val="24"/>
              </w:rPr>
            </w:pPr>
            <w:r>
              <w:rPr>
                <w:rFonts w:hint="default" w:ascii="Times New Roman" w:hAnsi="Times New Roman" w:cs="Times New Roman"/>
                <w:bCs/>
                <w:sz w:val="24"/>
              </w:rPr>
              <w:t>王艳</w:t>
            </w:r>
          </w:p>
        </w:tc>
        <w:tc>
          <w:tcPr>
            <w:tcW w:w="3311" w:type="dxa"/>
            <w:shd w:val="clear" w:color="auto" w:fill="auto"/>
          </w:tcPr>
          <w:p>
            <w:pPr>
              <w:autoSpaceDE w:val="0"/>
              <w:autoSpaceDN w:val="0"/>
              <w:adjustRightInd w:val="0"/>
              <w:spacing w:line="360" w:lineRule="auto"/>
              <w:jc w:val="center"/>
              <w:rPr>
                <w:rFonts w:hint="default" w:ascii="Times New Roman" w:hAnsi="Times New Roman" w:cs="Times New Roman"/>
                <w:bCs/>
                <w:sz w:val="24"/>
              </w:rPr>
            </w:pPr>
            <w:r>
              <w:rPr>
                <w:rFonts w:hint="default" w:ascii="Times New Roman" w:hAnsi="Times New Roman" w:cs="Times New Roman"/>
                <w:bCs/>
                <w:sz w:val="24"/>
              </w:rPr>
              <w:t>江苏省疾病预防控制中心</w:t>
            </w:r>
          </w:p>
        </w:tc>
        <w:tc>
          <w:tcPr>
            <w:tcW w:w="1418" w:type="dxa"/>
            <w:shd w:val="clear" w:color="auto" w:fill="auto"/>
          </w:tcPr>
          <w:p>
            <w:pPr>
              <w:autoSpaceDE w:val="0"/>
              <w:autoSpaceDN w:val="0"/>
              <w:adjustRightInd w:val="0"/>
              <w:spacing w:line="360" w:lineRule="auto"/>
              <w:jc w:val="center"/>
              <w:rPr>
                <w:rFonts w:hint="default" w:ascii="Times New Roman" w:hAnsi="Times New Roman" w:cs="Times New Roman"/>
                <w:bCs/>
                <w:sz w:val="24"/>
              </w:rPr>
            </w:pPr>
            <w:r>
              <w:rPr>
                <w:rFonts w:hint="default" w:ascii="Times New Roman" w:hAnsi="Times New Roman" w:cs="Times New Roman"/>
                <w:bCs/>
                <w:sz w:val="24"/>
              </w:rPr>
              <w:t>副主任医师</w:t>
            </w:r>
          </w:p>
        </w:tc>
        <w:tc>
          <w:tcPr>
            <w:tcW w:w="2219" w:type="dxa"/>
            <w:shd w:val="clear" w:color="auto" w:fill="auto"/>
          </w:tcPr>
          <w:p>
            <w:pPr>
              <w:autoSpaceDE w:val="0"/>
              <w:autoSpaceDN w:val="0"/>
              <w:adjustRightInd w:val="0"/>
              <w:spacing w:line="360" w:lineRule="auto"/>
              <w:jc w:val="center"/>
              <w:rPr>
                <w:rFonts w:hint="default" w:ascii="Times New Roman" w:hAnsi="Times New Roman" w:cs="Times New Roman"/>
                <w:bCs/>
                <w:sz w:val="24"/>
              </w:rPr>
            </w:pPr>
            <w:r>
              <w:rPr>
                <w:rFonts w:hint="default" w:ascii="Times New Roman" w:hAnsi="Times New Roman" w:cs="Times New Roman"/>
                <w:bCs/>
                <w:sz w:val="24"/>
              </w:rPr>
              <w:t>组织协调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0" w:type="dxa"/>
            <w:shd w:val="clear" w:color="auto" w:fill="auto"/>
          </w:tcPr>
          <w:p>
            <w:pPr>
              <w:autoSpaceDE w:val="0"/>
              <w:autoSpaceDN w:val="0"/>
              <w:adjustRightInd w:val="0"/>
              <w:spacing w:line="360" w:lineRule="auto"/>
              <w:jc w:val="center"/>
              <w:rPr>
                <w:rFonts w:hint="default" w:ascii="Times New Roman" w:hAnsi="Times New Roman" w:cs="Times New Roman"/>
                <w:bCs/>
                <w:sz w:val="24"/>
              </w:rPr>
            </w:pPr>
            <w:r>
              <w:rPr>
                <w:rFonts w:hint="default" w:ascii="Times New Roman" w:hAnsi="Times New Roman" w:cs="Times New Roman"/>
                <w:bCs/>
                <w:sz w:val="24"/>
              </w:rPr>
              <w:t>李佩璇</w:t>
            </w:r>
          </w:p>
        </w:tc>
        <w:tc>
          <w:tcPr>
            <w:tcW w:w="3311" w:type="dxa"/>
            <w:shd w:val="clear" w:color="auto" w:fill="auto"/>
          </w:tcPr>
          <w:p>
            <w:pPr>
              <w:autoSpaceDE w:val="0"/>
              <w:autoSpaceDN w:val="0"/>
              <w:adjustRightInd w:val="0"/>
              <w:spacing w:line="360" w:lineRule="auto"/>
              <w:jc w:val="center"/>
              <w:rPr>
                <w:rFonts w:hint="default" w:ascii="Times New Roman" w:hAnsi="Times New Roman" w:cs="Times New Roman"/>
                <w:bCs/>
                <w:sz w:val="24"/>
              </w:rPr>
            </w:pPr>
            <w:r>
              <w:rPr>
                <w:rFonts w:hint="default" w:ascii="Times New Roman" w:hAnsi="Times New Roman" w:cs="Times New Roman"/>
                <w:bCs/>
                <w:sz w:val="24"/>
              </w:rPr>
              <w:t>江苏省疾病预防控制中心</w:t>
            </w:r>
          </w:p>
        </w:tc>
        <w:tc>
          <w:tcPr>
            <w:tcW w:w="1418" w:type="dxa"/>
            <w:shd w:val="clear" w:color="auto" w:fill="auto"/>
          </w:tcPr>
          <w:p>
            <w:pPr>
              <w:autoSpaceDE w:val="0"/>
              <w:autoSpaceDN w:val="0"/>
              <w:adjustRightInd w:val="0"/>
              <w:spacing w:line="360" w:lineRule="auto"/>
              <w:jc w:val="center"/>
              <w:rPr>
                <w:rFonts w:hint="default" w:ascii="Times New Roman" w:hAnsi="Times New Roman" w:cs="Times New Roman"/>
                <w:bCs/>
                <w:sz w:val="24"/>
              </w:rPr>
            </w:pPr>
            <w:r>
              <w:rPr>
                <w:rFonts w:hint="default" w:ascii="Times New Roman" w:hAnsi="Times New Roman" w:cs="Times New Roman"/>
                <w:sz w:val="24"/>
              </w:rPr>
              <w:t>主管医师</w:t>
            </w:r>
          </w:p>
        </w:tc>
        <w:tc>
          <w:tcPr>
            <w:tcW w:w="2219" w:type="dxa"/>
            <w:shd w:val="clear" w:color="auto" w:fill="auto"/>
          </w:tcPr>
          <w:p>
            <w:pPr>
              <w:autoSpaceDE w:val="0"/>
              <w:autoSpaceDN w:val="0"/>
              <w:adjustRightInd w:val="0"/>
              <w:spacing w:line="360" w:lineRule="auto"/>
              <w:jc w:val="center"/>
              <w:rPr>
                <w:rFonts w:hint="default" w:ascii="Times New Roman" w:hAnsi="Times New Roman" w:cs="Times New Roman"/>
                <w:bCs/>
                <w:sz w:val="24"/>
              </w:rPr>
            </w:pPr>
            <w:r>
              <w:rPr>
                <w:rFonts w:hint="default" w:ascii="Times New Roman" w:hAnsi="Times New Roman" w:cs="Times New Roman"/>
                <w:bCs/>
                <w:sz w:val="24"/>
              </w:rPr>
              <w:t>技术指导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0" w:type="dxa"/>
            <w:shd w:val="clear" w:color="auto" w:fill="auto"/>
          </w:tcPr>
          <w:p>
            <w:pPr>
              <w:autoSpaceDE w:val="0"/>
              <w:autoSpaceDN w:val="0"/>
              <w:adjustRightInd w:val="0"/>
              <w:spacing w:line="360" w:lineRule="auto"/>
              <w:jc w:val="center"/>
              <w:rPr>
                <w:rFonts w:hint="default" w:ascii="Times New Roman" w:hAnsi="Times New Roman" w:cs="Times New Roman"/>
                <w:bCs/>
                <w:sz w:val="24"/>
              </w:rPr>
            </w:pPr>
            <w:r>
              <w:rPr>
                <w:rFonts w:hint="default" w:ascii="Times New Roman" w:hAnsi="Times New Roman" w:cs="Times New Roman"/>
                <w:bCs/>
                <w:sz w:val="24"/>
              </w:rPr>
              <w:t>孙伯超</w:t>
            </w:r>
          </w:p>
        </w:tc>
        <w:tc>
          <w:tcPr>
            <w:tcW w:w="3311" w:type="dxa"/>
            <w:shd w:val="clear" w:color="auto" w:fill="auto"/>
          </w:tcPr>
          <w:p>
            <w:pPr>
              <w:autoSpaceDE w:val="0"/>
              <w:autoSpaceDN w:val="0"/>
              <w:adjustRightInd w:val="0"/>
              <w:spacing w:line="360" w:lineRule="auto"/>
              <w:jc w:val="center"/>
              <w:rPr>
                <w:rFonts w:hint="default" w:ascii="Times New Roman" w:hAnsi="Times New Roman" w:cs="Times New Roman"/>
                <w:bCs/>
                <w:sz w:val="24"/>
              </w:rPr>
            </w:pPr>
            <w:r>
              <w:rPr>
                <w:rFonts w:hint="default" w:ascii="Times New Roman" w:hAnsi="Times New Roman" w:cs="Times New Roman"/>
                <w:bCs/>
                <w:sz w:val="24"/>
              </w:rPr>
              <w:t>盐城市疾病预防控制中心</w:t>
            </w:r>
          </w:p>
        </w:tc>
        <w:tc>
          <w:tcPr>
            <w:tcW w:w="1418" w:type="dxa"/>
            <w:shd w:val="clear" w:color="auto" w:fill="auto"/>
          </w:tcPr>
          <w:p>
            <w:pPr>
              <w:autoSpaceDE w:val="0"/>
              <w:autoSpaceDN w:val="0"/>
              <w:adjustRightInd w:val="0"/>
              <w:spacing w:line="360" w:lineRule="auto"/>
              <w:jc w:val="center"/>
              <w:rPr>
                <w:rFonts w:hint="default" w:ascii="Times New Roman" w:hAnsi="Times New Roman" w:cs="Times New Roman"/>
                <w:bCs/>
                <w:sz w:val="24"/>
              </w:rPr>
            </w:pPr>
            <w:r>
              <w:rPr>
                <w:rFonts w:hint="default" w:ascii="Times New Roman" w:hAnsi="Times New Roman" w:cs="Times New Roman"/>
                <w:sz w:val="24"/>
              </w:rPr>
              <w:t>主</w:t>
            </w:r>
            <w:r>
              <w:rPr>
                <w:rFonts w:hint="default" w:ascii="Times New Roman" w:hAnsi="Times New Roman" w:eastAsia="方正仿宋_GBK" w:cs="Times New Roman"/>
                <w:sz w:val="24"/>
              </w:rPr>
              <w:t>任医师</w:t>
            </w:r>
          </w:p>
        </w:tc>
        <w:tc>
          <w:tcPr>
            <w:tcW w:w="2219" w:type="dxa"/>
            <w:shd w:val="clear" w:color="auto" w:fill="auto"/>
          </w:tcPr>
          <w:p>
            <w:pPr>
              <w:autoSpaceDE w:val="0"/>
              <w:autoSpaceDN w:val="0"/>
              <w:adjustRightInd w:val="0"/>
              <w:spacing w:line="360" w:lineRule="auto"/>
              <w:jc w:val="center"/>
              <w:rPr>
                <w:rFonts w:hint="default" w:ascii="Times New Roman" w:hAnsi="Times New Roman" w:cs="Times New Roman"/>
                <w:bCs/>
                <w:sz w:val="24"/>
              </w:rPr>
            </w:pPr>
            <w:r>
              <w:rPr>
                <w:rFonts w:hint="default" w:ascii="Times New Roman" w:hAnsi="Times New Roman" w:cs="Times New Roman"/>
                <w:bCs/>
                <w:sz w:val="24"/>
              </w:rPr>
              <w:t>查阅文献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0" w:type="dxa"/>
            <w:shd w:val="clear" w:color="auto" w:fill="auto"/>
          </w:tcPr>
          <w:p>
            <w:pPr>
              <w:autoSpaceDE w:val="0"/>
              <w:autoSpaceDN w:val="0"/>
              <w:adjustRightInd w:val="0"/>
              <w:spacing w:line="360" w:lineRule="auto"/>
              <w:jc w:val="center"/>
              <w:rPr>
                <w:rFonts w:hint="default" w:ascii="Times New Roman" w:hAnsi="Times New Roman" w:cs="Times New Roman"/>
                <w:bCs/>
                <w:sz w:val="24"/>
              </w:rPr>
            </w:pPr>
            <w:r>
              <w:rPr>
                <w:rFonts w:hint="default" w:ascii="Times New Roman" w:hAnsi="Times New Roman" w:cs="Times New Roman"/>
                <w:bCs/>
                <w:sz w:val="24"/>
              </w:rPr>
              <w:t>孙中友</w:t>
            </w:r>
          </w:p>
        </w:tc>
        <w:tc>
          <w:tcPr>
            <w:tcW w:w="3311" w:type="dxa"/>
            <w:shd w:val="clear" w:color="auto" w:fill="auto"/>
          </w:tcPr>
          <w:p>
            <w:pPr>
              <w:autoSpaceDE w:val="0"/>
              <w:autoSpaceDN w:val="0"/>
              <w:adjustRightInd w:val="0"/>
              <w:spacing w:line="360" w:lineRule="auto"/>
              <w:jc w:val="center"/>
              <w:rPr>
                <w:rFonts w:hint="default" w:ascii="Times New Roman" w:hAnsi="Times New Roman" w:cs="Times New Roman"/>
                <w:bCs/>
                <w:sz w:val="24"/>
              </w:rPr>
            </w:pPr>
            <w:r>
              <w:rPr>
                <w:rFonts w:hint="default" w:ascii="Times New Roman" w:hAnsi="Times New Roman" w:cs="Times New Roman"/>
                <w:bCs/>
                <w:sz w:val="24"/>
              </w:rPr>
              <w:t>盐城市疾病预防控制中心</w:t>
            </w:r>
          </w:p>
        </w:tc>
        <w:tc>
          <w:tcPr>
            <w:tcW w:w="1418" w:type="dxa"/>
            <w:shd w:val="clear" w:color="auto" w:fill="auto"/>
          </w:tcPr>
          <w:p>
            <w:pPr>
              <w:autoSpaceDE w:val="0"/>
              <w:autoSpaceDN w:val="0"/>
              <w:adjustRightInd w:val="0"/>
              <w:spacing w:line="360" w:lineRule="auto"/>
              <w:jc w:val="center"/>
              <w:rPr>
                <w:rFonts w:hint="default" w:ascii="Times New Roman" w:hAnsi="Times New Roman" w:cs="Times New Roman"/>
                <w:bCs/>
                <w:sz w:val="24"/>
                <w:highlight w:val="yellow"/>
              </w:rPr>
            </w:pPr>
            <w:r>
              <w:rPr>
                <w:rFonts w:hint="default" w:ascii="Times New Roman" w:hAnsi="Times New Roman" w:cs="Times New Roman"/>
                <w:sz w:val="24"/>
              </w:rPr>
              <w:t>主</w:t>
            </w:r>
            <w:r>
              <w:rPr>
                <w:rFonts w:hint="default" w:ascii="Times New Roman" w:hAnsi="Times New Roman" w:eastAsia="方正仿宋_GBK" w:cs="Times New Roman"/>
                <w:sz w:val="24"/>
              </w:rPr>
              <w:t>任医师</w:t>
            </w:r>
          </w:p>
        </w:tc>
        <w:tc>
          <w:tcPr>
            <w:tcW w:w="2219" w:type="dxa"/>
            <w:shd w:val="clear" w:color="auto" w:fill="auto"/>
          </w:tcPr>
          <w:p>
            <w:pPr>
              <w:autoSpaceDE w:val="0"/>
              <w:autoSpaceDN w:val="0"/>
              <w:adjustRightInd w:val="0"/>
              <w:spacing w:line="360" w:lineRule="auto"/>
              <w:jc w:val="center"/>
              <w:rPr>
                <w:rFonts w:hint="default" w:ascii="Times New Roman" w:hAnsi="Times New Roman" w:cs="Times New Roman"/>
                <w:bCs/>
                <w:sz w:val="24"/>
              </w:rPr>
            </w:pPr>
            <w:r>
              <w:rPr>
                <w:rFonts w:hint="default" w:ascii="Times New Roman" w:hAnsi="Times New Roman" w:cs="Times New Roman"/>
                <w:bCs/>
                <w:sz w:val="24"/>
              </w:rPr>
              <w:t>查阅文献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0" w:type="dxa"/>
            <w:shd w:val="clear" w:color="auto" w:fill="auto"/>
          </w:tcPr>
          <w:p>
            <w:pPr>
              <w:autoSpaceDE w:val="0"/>
              <w:autoSpaceDN w:val="0"/>
              <w:adjustRightInd w:val="0"/>
              <w:spacing w:line="360" w:lineRule="auto"/>
              <w:jc w:val="center"/>
              <w:rPr>
                <w:rFonts w:hint="default" w:ascii="Times New Roman" w:hAnsi="Times New Roman" w:cs="Times New Roman"/>
                <w:bCs/>
                <w:sz w:val="24"/>
              </w:rPr>
            </w:pPr>
            <w:r>
              <w:rPr>
                <w:rFonts w:hint="default" w:ascii="Times New Roman" w:hAnsi="Times New Roman" w:cs="Times New Roman"/>
                <w:bCs/>
                <w:sz w:val="24"/>
              </w:rPr>
              <w:t>刘辉</w:t>
            </w:r>
          </w:p>
        </w:tc>
        <w:tc>
          <w:tcPr>
            <w:tcW w:w="3311" w:type="dxa"/>
            <w:shd w:val="clear" w:color="auto" w:fill="auto"/>
          </w:tcPr>
          <w:p>
            <w:pPr>
              <w:autoSpaceDE w:val="0"/>
              <w:autoSpaceDN w:val="0"/>
              <w:adjustRightInd w:val="0"/>
              <w:spacing w:line="360" w:lineRule="auto"/>
              <w:jc w:val="center"/>
              <w:rPr>
                <w:rFonts w:hint="default" w:ascii="Times New Roman" w:hAnsi="Times New Roman" w:cs="Times New Roman"/>
                <w:bCs/>
                <w:sz w:val="24"/>
              </w:rPr>
            </w:pPr>
            <w:r>
              <w:rPr>
                <w:rFonts w:hint="default" w:ascii="Times New Roman" w:hAnsi="Times New Roman" w:cs="Times New Roman"/>
                <w:bCs/>
                <w:sz w:val="24"/>
              </w:rPr>
              <w:t>南京市疾病预防控制中心</w:t>
            </w:r>
          </w:p>
        </w:tc>
        <w:tc>
          <w:tcPr>
            <w:tcW w:w="1418" w:type="dxa"/>
            <w:shd w:val="clear" w:color="auto" w:fill="auto"/>
          </w:tcPr>
          <w:p>
            <w:pPr>
              <w:autoSpaceDE w:val="0"/>
              <w:autoSpaceDN w:val="0"/>
              <w:adjustRightInd w:val="0"/>
              <w:spacing w:line="360" w:lineRule="auto"/>
              <w:jc w:val="center"/>
              <w:rPr>
                <w:rFonts w:hint="default" w:ascii="Times New Roman" w:hAnsi="Times New Roman" w:cs="Times New Roman"/>
                <w:bCs/>
                <w:sz w:val="24"/>
                <w:highlight w:val="yellow"/>
              </w:rPr>
            </w:pPr>
            <w:r>
              <w:rPr>
                <w:rFonts w:hint="default" w:ascii="Times New Roman" w:hAnsi="Times New Roman" w:cs="Times New Roman"/>
                <w:sz w:val="24"/>
              </w:rPr>
              <w:t>主</w:t>
            </w:r>
            <w:r>
              <w:rPr>
                <w:rFonts w:hint="default" w:ascii="Times New Roman" w:hAnsi="Times New Roman" w:eastAsia="方正仿宋_GBK" w:cs="Times New Roman"/>
                <w:sz w:val="24"/>
              </w:rPr>
              <w:t>任医师</w:t>
            </w:r>
          </w:p>
        </w:tc>
        <w:tc>
          <w:tcPr>
            <w:tcW w:w="2219" w:type="dxa"/>
            <w:shd w:val="clear" w:color="auto" w:fill="auto"/>
          </w:tcPr>
          <w:p>
            <w:pPr>
              <w:autoSpaceDE w:val="0"/>
              <w:autoSpaceDN w:val="0"/>
              <w:adjustRightInd w:val="0"/>
              <w:spacing w:line="360" w:lineRule="auto"/>
              <w:jc w:val="center"/>
              <w:rPr>
                <w:rFonts w:hint="default" w:ascii="Times New Roman" w:hAnsi="Times New Roman" w:cs="Times New Roman"/>
                <w:bCs/>
                <w:sz w:val="24"/>
              </w:rPr>
            </w:pPr>
            <w:r>
              <w:rPr>
                <w:rFonts w:hint="default" w:ascii="Times New Roman" w:hAnsi="Times New Roman" w:cs="Times New Roman"/>
                <w:bCs/>
                <w:sz w:val="24"/>
              </w:rPr>
              <w:t>撰写规范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0" w:type="dxa"/>
            <w:shd w:val="clear" w:color="auto" w:fill="auto"/>
          </w:tcPr>
          <w:p>
            <w:pPr>
              <w:autoSpaceDE w:val="0"/>
              <w:autoSpaceDN w:val="0"/>
              <w:adjustRightInd w:val="0"/>
              <w:spacing w:line="360" w:lineRule="auto"/>
              <w:jc w:val="center"/>
              <w:rPr>
                <w:rFonts w:hint="default" w:ascii="Times New Roman" w:hAnsi="Times New Roman" w:cs="Times New Roman"/>
                <w:bCs/>
                <w:sz w:val="24"/>
              </w:rPr>
            </w:pPr>
            <w:r>
              <w:rPr>
                <w:rFonts w:hint="default" w:ascii="Times New Roman" w:hAnsi="Times New Roman" w:cs="Times New Roman"/>
                <w:bCs/>
                <w:sz w:val="24"/>
              </w:rPr>
              <w:t>刘黎</w:t>
            </w:r>
          </w:p>
        </w:tc>
        <w:tc>
          <w:tcPr>
            <w:tcW w:w="3311" w:type="dxa"/>
            <w:shd w:val="clear" w:color="auto" w:fill="auto"/>
          </w:tcPr>
          <w:p>
            <w:pPr>
              <w:autoSpaceDE w:val="0"/>
              <w:autoSpaceDN w:val="0"/>
              <w:adjustRightInd w:val="0"/>
              <w:spacing w:line="360" w:lineRule="auto"/>
              <w:jc w:val="center"/>
              <w:rPr>
                <w:rFonts w:hint="default" w:ascii="Times New Roman" w:hAnsi="Times New Roman" w:cs="Times New Roman"/>
                <w:bCs/>
                <w:sz w:val="24"/>
              </w:rPr>
            </w:pPr>
            <w:r>
              <w:rPr>
                <w:rFonts w:hint="default" w:ascii="Times New Roman" w:hAnsi="Times New Roman" w:cs="Times New Roman"/>
                <w:bCs/>
                <w:sz w:val="24"/>
              </w:rPr>
              <w:t>南京市疾病预防控制中心</w:t>
            </w:r>
          </w:p>
        </w:tc>
        <w:tc>
          <w:tcPr>
            <w:tcW w:w="1418" w:type="dxa"/>
            <w:shd w:val="clear" w:color="auto" w:fill="auto"/>
          </w:tcPr>
          <w:p>
            <w:pPr>
              <w:autoSpaceDE w:val="0"/>
              <w:autoSpaceDN w:val="0"/>
              <w:adjustRightInd w:val="0"/>
              <w:spacing w:line="360" w:lineRule="auto"/>
              <w:jc w:val="center"/>
              <w:rPr>
                <w:rFonts w:hint="default" w:ascii="Times New Roman" w:hAnsi="Times New Roman" w:cs="Times New Roman"/>
                <w:bCs/>
                <w:sz w:val="24"/>
                <w:highlight w:val="yellow"/>
              </w:rPr>
            </w:pPr>
            <w:r>
              <w:rPr>
                <w:rFonts w:hint="default" w:ascii="Times New Roman" w:hAnsi="Times New Roman" w:cs="Times New Roman"/>
                <w:sz w:val="24"/>
              </w:rPr>
              <w:t>主</w:t>
            </w:r>
            <w:r>
              <w:rPr>
                <w:rFonts w:hint="default" w:ascii="Times New Roman" w:hAnsi="Times New Roman" w:eastAsia="方正仿宋_GBK" w:cs="Times New Roman"/>
                <w:sz w:val="24"/>
              </w:rPr>
              <w:t>任医师</w:t>
            </w:r>
          </w:p>
        </w:tc>
        <w:tc>
          <w:tcPr>
            <w:tcW w:w="2219" w:type="dxa"/>
            <w:shd w:val="clear" w:color="auto" w:fill="auto"/>
          </w:tcPr>
          <w:p>
            <w:pPr>
              <w:autoSpaceDE w:val="0"/>
              <w:autoSpaceDN w:val="0"/>
              <w:adjustRightInd w:val="0"/>
              <w:spacing w:line="360" w:lineRule="auto"/>
              <w:jc w:val="center"/>
              <w:rPr>
                <w:rFonts w:hint="default" w:ascii="Times New Roman" w:hAnsi="Times New Roman" w:cs="Times New Roman"/>
                <w:bCs/>
                <w:sz w:val="24"/>
              </w:rPr>
            </w:pPr>
            <w:r>
              <w:rPr>
                <w:rFonts w:hint="default" w:ascii="Times New Roman" w:hAnsi="Times New Roman" w:cs="Times New Roman"/>
                <w:bCs/>
                <w:sz w:val="24"/>
              </w:rPr>
              <w:t>撰写规范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0" w:type="dxa"/>
            <w:shd w:val="clear" w:color="auto" w:fill="auto"/>
          </w:tcPr>
          <w:p>
            <w:pPr>
              <w:autoSpaceDE w:val="0"/>
              <w:autoSpaceDN w:val="0"/>
              <w:adjustRightInd w:val="0"/>
              <w:spacing w:line="360" w:lineRule="auto"/>
              <w:jc w:val="center"/>
              <w:rPr>
                <w:rFonts w:hint="default" w:ascii="Times New Roman" w:hAnsi="Times New Roman" w:cs="Times New Roman"/>
                <w:bCs/>
                <w:sz w:val="24"/>
              </w:rPr>
            </w:pPr>
            <w:r>
              <w:rPr>
                <w:rFonts w:hint="default" w:ascii="Times New Roman" w:hAnsi="Times New Roman" w:cs="Times New Roman"/>
                <w:bCs/>
                <w:sz w:val="24"/>
              </w:rPr>
              <w:t>张静杨</w:t>
            </w:r>
          </w:p>
        </w:tc>
        <w:tc>
          <w:tcPr>
            <w:tcW w:w="3311" w:type="dxa"/>
            <w:shd w:val="clear" w:color="auto" w:fill="auto"/>
          </w:tcPr>
          <w:p>
            <w:pPr>
              <w:autoSpaceDE w:val="0"/>
              <w:autoSpaceDN w:val="0"/>
              <w:adjustRightInd w:val="0"/>
              <w:spacing w:line="360" w:lineRule="auto"/>
              <w:jc w:val="center"/>
              <w:rPr>
                <w:rFonts w:hint="default" w:ascii="Times New Roman" w:hAnsi="Times New Roman" w:cs="Times New Roman"/>
                <w:bCs/>
                <w:sz w:val="24"/>
              </w:rPr>
            </w:pPr>
            <w:r>
              <w:rPr>
                <w:rFonts w:hint="default" w:ascii="Times New Roman" w:hAnsi="Times New Roman" w:cs="Times New Roman"/>
                <w:bCs/>
                <w:sz w:val="24"/>
              </w:rPr>
              <w:t>江苏省疾病预防控制中心</w:t>
            </w:r>
          </w:p>
        </w:tc>
        <w:tc>
          <w:tcPr>
            <w:tcW w:w="1418" w:type="dxa"/>
            <w:shd w:val="clear" w:color="auto" w:fill="auto"/>
          </w:tcPr>
          <w:p>
            <w:pPr>
              <w:autoSpaceDE w:val="0"/>
              <w:autoSpaceDN w:val="0"/>
              <w:adjustRightInd w:val="0"/>
              <w:spacing w:line="360" w:lineRule="auto"/>
              <w:jc w:val="center"/>
              <w:rPr>
                <w:rFonts w:hint="default" w:ascii="Times New Roman" w:hAnsi="Times New Roman" w:cs="Times New Roman"/>
                <w:bCs/>
                <w:sz w:val="24"/>
                <w:highlight w:val="yellow"/>
              </w:rPr>
            </w:pPr>
            <w:r>
              <w:rPr>
                <w:rFonts w:hint="default" w:ascii="Times New Roman" w:hAnsi="Times New Roman" w:cs="Times New Roman"/>
                <w:sz w:val="24"/>
              </w:rPr>
              <w:t>主管医师</w:t>
            </w:r>
          </w:p>
        </w:tc>
        <w:tc>
          <w:tcPr>
            <w:tcW w:w="2219" w:type="dxa"/>
            <w:shd w:val="clear" w:color="auto" w:fill="auto"/>
          </w:tcPr>
          <w:p>
            <w:pPr>
              <w:autoSpaceDE w:val="0"/>
              <w:autoSpaceDN w:val="0"/>
              <w:adjustRightInd w:val="0"/>
              <w:spacing w:line="360" w:lineRule="auto"/>
              <w:jc w:val="center"/>
              <w:rPr>
                <w:rFonts w:hint="default" w:ascii="Times New Roman" w:hAnsi="Times New Roman" w:cs="Times New Roman"/>
                <w:bCs/>
                <w:sz w:val="24"/>
              </w:rPr>
            </w:pPr>
            <w:r>
              <w:rPr>
                <w:rFonts w:hint="default" w:ascii="Times New Roman" w:hAnsi="Times New Roman" w:cs="Times New Roman"/>
                <w:bCs/>
                <w:sz w:val="24"/>
              </w:rPr>
              <w:t>撰写编制说明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0" w:type="dxa"/>
            <w:shd w:val="clear" w:color="auto" w:fill="auto"/>
          </w:tcPr>
          <w:p>
            <w:pPr>
              <w:autoSpaceDE w:val="0"/>
              <w:autoSpaceDN w:val="0"/>
              <w:adjustRightInd w:val="0"/>
              <w:spacing w:line="360" w:lineRule="auto"/>
              <w:jc w:val="center"/>
              <w:rPr>
                <w:rFonts w:hint="default" w:ascii="Times New Roman" w:hAnsi="Times New Roman" w:cs="Times New Roman"/>
                <w:bCs/>
                <w:sz w:val="24"/>
              </w:rPr>
            </w:pPr>
            <w:r>
              <w:rPr>
                <w:rFonts w:hint="default" w:ascii="Times New Roman" w:hAnsi="Times New Roman" w:cs="Times New Roman"/>
                <w:bCs/>
                <w:sz w:val="24"/>
              </w:rPr>
              <w:t>巩方文</w:t>
            </w:r>
          </w:p>
        </w:tc>
        <w:tc>
          <w:tcPr>
            <w:tcW w:w="3311" w:type="dxa"/>
            <w:shd w:val="clear" w:color="auto" w:fill="auto"/>
          </w:tcPr>
          <w:p>
            <w:pPr>
              <w:autoSpaceDE w:val="0"/>
              <w:autoSpaceDN w:val="0"/>
              <w:adjustRightInd w:val="0"/>
              <w:spacing w:line="360" w:lineRule="auto"/>
              <w:jc w:val="center"/>
              <w:rPr>
                <w:rFonts w:hint="default" w:ascii="Times New Roman" w:hAnsi="Times New Roman" w:cs="Times New Roman"/>
                <w:bCs/>
                <w:sz w:val="24"/>
              </w:rPr>
            </w:pPr>
            <w:r>
              <w:rPr>
                <w:rFonts w:hint="default" w:ascii="Times New Roman" w:hAnsi="Times New Roman" w:cs="Times New Roman"/>
                <w:bCs/>
                <w:sz w:val="24"/>
              </w:rPr>
              <w:t>连云港市疾病预防控制中心</w:t>
            </w:r>
          </w:p>
        </w:tc>
        <w:tc>
          <w:tcPr>
            <w:tcW w:w="1418" w:type="dxa"/>
            <w:shd w:val="clear" w:color="auto" w:fill="auto"/>
          </w:tcPr>
          <w:p>
            <w:pPr>
              <w:autoSpaceDE w:val="0"/>
              <w:autoSpaceDN w:val="0"/>
              <w:adjustRightInd w:val="0"/>
              <w:spacing w:line="360" w:lineRule="auto"/>
              <w:jc w:val="center"/>
              <w:rPr>
                <w:rFonts w:hint="default" w:ascii="Times New Roman" w:hAnsi="Times New Roman" w:cs="Times New Roman"/>
                <w:bCs/>
                <w:sz w:val="24"/>
                <w:highlight w:val="yellow"/>
              </w:rPr>
            </w:pPr>
            <w:r>
              <w:rPr>
                <w:rFonts w:hint="default" w:ascii="Times New Roman" w:hAnsi="Times New Roman" w:cs="Times New Roman"/>
                <w:sz w:val="24"/>
              </w:rPr>
              <w:t>副</w:t>
            </w:r>
            <w:r>
              <w:rPr>
                <w:rFonts w:hint="default" w:ascii="Times New Roman" w:hAnsi="Times New Roman" w:eastAsia="方正仿宋_GBK" w:cs="Times New Roman"/>
                <w:sz w:val="24"/>
              </w:rPr>
              <w:t>主任医师</w:t>
            </w:r>
          </w:p>
        </w:tc>
        <w:tc>
          <w:tcPr>
            <w:tcW w:w="2219" w:type="dxa"/>
            <w:shd w:val="clear" w:color="auto" w:fill="auto"/>
          </w:tcPr>
          <w:p>
            <w:pPr>
              <w:autoSpaceDE w:val="0"/>
              <w:autoSpaceDN w:val="0"/>
              <w:adjustRightInd w:val="0"/>
              <w:spacing w:line="360" w:lineRule="auto"/>
              <w:jc w:val="center"/>
              <w:rPr>
                <w:rFonts w:hint="default" w:ascii="Times New Roman" w:hAnsi="Times New Roman" w:cs="Times New Roman"/>
                <w:bCs/>
                <w:sz w:val="24"/>
              </w:rPr>
            </w:pPr>
            <w:r>
              <w:rPr>
                <w:rFonts w:hint="default" w:ascii="Times New Roman" w:hAnsi="Times New Roman" w:cs="Times New Roman"/>
                <w:bCs/>
                <w:sz w:val="24"/>
              </w:rPr>
              <w:t>撰写编制说明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0" w:type="dxa"/>
            <w:shd w:val="clear" w:color="auto" w:fill="auto"/>
          </w:tcPr>
          <w:p>
            <w:pPr>
              <w:autoSpaceDE w:val="0"/>
              <w:autoSpaceDN w:val="0"/>
              <w:adjustRightInd w:val="0"/>
              <w:spacing w:line="360" w:lineRule="auto"/>
              <w:jc w:val="center"/>
              <w:rPr>
                <w:rFonts w:hint="default" w:ascii="Times New Roman" w:hAnsi="Times New Roman" w:cs="Times New Roman"/>
                <w:bCs/>
                <w:sz w:val="24"/>
              </w:rPr>
            </w:pPr>
            <w:r>
              <w:rPr>
                <w:rFonts w:hint="default" w:ascii="Times New Roman" w:hAnsi="Times New Roman" w:cs="Times New Roman"/>
                <w:bCs/>
                <w:sz w:val="24"/>
              </w:rPr>
              <w:t>张春霞</w:t>
            </w:r>
          </w:p>
        </w:tc>
        <w:tc>
          <w:tcPr>
            <w:tcW w:w="3311" w:type="dxa"/>
            <w:shd w:val="clear" w:color="auto" w:fill="auto"/>
          </w:tcPr>
          <w:p>
            <w:pPr>
              <w:autoSpaceDE w:val="0"/>
              <w:autoSpaceDN w:val="0"/>
              <w:adjustRightInd w:val="0"/>
              <w:spacing w:line="360" w:lineRule="auto"/>
              <w:jc w:val="center"/>
              <w:rPr>
                <w:rFonts w:hint="default" w:ascii="Times New Roman" w:hAnsi="Times New Roman" w:cs="Times New Roman"/>
                <w:bCs/>
                <w:sz w:val="24"/>
              </w:rPr>
            </w:pPr>
            <w:r>
              <w:rPr>
                <w:rFonts w:hint="default" w:ascii="Times New Roman" w:hAnsi="Times New Roman" w:cs="Times New Roman"/>
                <w:bCs/>
                <w:sz w:val="24"/>
              </w:rPr>
              <w:t>镇江市疾病预防控制中心</w:t>
            </w:r>
          </w:p>
        </w:tc>
        <w:tc>
          <w:tcPr>
            <w:tcW w:w="1418" w:type="dxa"/>
            <w:shd w:val="clear" w:color="auto" w:fill="auto"/>
          </w:tcPr>
          <w:p>
            <w:pPr>
              <w:autoSpaceDE w:val="0"/>
              <w:autoSpaceDN w:val="0"/>
              <w:adjustRightInd w:val="0"/>
              <w:spacing w:line="360" w:lineRule="auto"/>
              <w:jc w:val="center"/>
              <w:rPr>
                <w:rFonts w:hint="default" w:ascii="Times New Roman" w:hAnsi="Times New Roman" w:cs="Times New Roman"/>
                <w:bCs/>
                <w:sz w:val="24"/>
              </w:rPr>
            </w:pPr>
            <w:r>
              <w:rPr>
                <w:rFonts w:hint="default" w:ascii="Times New Roman" w:hAnsi="Times New Roman" w:cs="Times New Roman"/>
                <w:sz w:val="24"/>
              </w:rPr>
              <w:t>工</w:t>
            </w:r>
            <w:r>
              <w:rPr>
                <w:rFonts w:hint="default" w:ascii="Times New Roman" w:hAnsi="Times New Roman" w:eastAsia="方正仿宋_GBK" w:cs="Times New Roman"/>
                <w:sz w:val="24"/>
              </w:rPr>
              <w:t>程师</w:t>
            </w:r>
          </w:p>
        </w:tc>
        <w:tc>
          <w:tcPr>
            <w:tcW w:w="2219" w:type="dxa"/>
            <w:shd w:val="clear" w:color="auto" w:fill="auto"/>
          </w:tcPr>
          <w:p>
            <w:pPr>
              <w:autoSpaceDE w:val="0"/>
              <w:autoSpaceDN w:val="0"/>
              <w:adjustRightInd w:val="0"/>
              <w:spacing w:line="360" w:lineRule="auto"/>
              <w:jc w:val="center"/>
              <w:rPr>
                <w:rFonts w:hint="default" w:ascii="Times New Roman" w:hAnsi="Times New Roman" w:cs="Times New Roman"/>
                <w:bCs/>
                <w:sz w:val="24"/>
              </w:rPr>
            </w:pPr>
            <w:r>
              <w:rPr>
                <w:rFonts w:hint="default" w:ascii="Times New Roman" w:hAnsi="Times New Roman" w:cs="Times New Roman"/>
                <w:bCs/>
                <w:sz w:val="24"/>
              </w:rPr>
              <w:t>文献检索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0" w:type="dxa"/>
            <w:shd w:val="clear" w:color="auto" w:fill="auto"/>
          </w:tcPr>
          <w:p>
            <w:pPr>
              <w:autoSpaceDE w:val="0"/>
              <w:autoSpaceDN w:val="0"/>
              <w:adjustRightInd w:val="0"/>
              <w:spacing w:line="360" w:lineRule="auto"/>
              <w:jc w:val="center"/>
              <w:rPr>
                <w:rFonts w:hint="default" w:ascii="Times New Roman" w:hAnsi="Times New Roman" w:cs="Times New Roman"/>
                <w:bCs/>
                <w:sz w:val="24"/>
              </w:rPr>
            </w:pPr>
            <w:r>
              <w:rPr>
                <w:rFonts w:hint="default" w:ascii="Times New Roman" w:hAnsi="Times New Roman" w:cs="Times New Roman"/>
                <w:bCs/>
                <w:sz w:val="24"/>
              </w:rPr>
              <w:t>薛慧</w:t>
            </w:r>
          </w:p>
        </w:tc>
        <w:tc>
          <w:tcPr>
            <w:tcW w:w="3311" w:type="dxa"/>
            <w:shd w:val="clear" w:color="auto" w:fill="auto"/>
          </w:tcPr>
          <w:p>
            <w:pPr>
              <w:autoSpaceDE w:val="0"/>
              <w:autoSpaceDN w:val="0"/>
              <w:adjustRightInd w:val="0"/>
              <w:spacing w:line="360" w:lineRule="auto"/>
              <w:jc w:val="center"/>
              <w:rPr>
                <w:rFonts w:hint="default" w:ascii="Times New Roman" w:hAnsi="Times New Roman" w:cs="Times New Roman"/>
                <w:bCs/>
                <w:sz w:val="24"/>
              </w:rPr>
            </w:pPr>
            <w:r>
              <w:rPr>
                <w:rFonts w:hint="default" w:ascii="Times New Roman" w:hAnsi="Times New Roman" w:cs="Times New Roman"/>
                <w:bCs/>
                <w:sz w:val="24"/>
              </w:rPr>
              <w:t>东南大学</w:t>
            </w:r>
          </w:p>
        </w:tc>
        <w:tc>
          <w:tcPr>
            <w:tcW w:w="1418" w:type="dxa"/>
            <w:shd w:val="clear" w:color="auto" w:fill="auto"/>
          </w:tcPr>
          <w:p>
            <w:pPr>
              <w:autoSpaceDE w:val="0"/>
              <w:autoSpaceDN w:val="0"/>
              <w:adjustRightInd w:val="0"/>
              <w:spacing w:line="360" w:lineRule="auto"/>
              <w:jc w:val="center"/>
              <w:rPr>
                <w:rFonts w:hint="default" w:ascii="Times New Roman" w:hAnsi="Times New Roman" w:cs="Times New Roman"/>
                <w:bCs/>
                <w:sz w:val="24"/>
              </w:rPr>
            </w:pPr>
            <w:r>
              <w:rPr>
                <w:rFonts w:hint="default" w:ascii="Times New Roman" w:hAnsi="Times New Roman" w:cs="Times New Roman"/>
                <w:bCs/>
                <w:sz w:val="24"/>
              </w:rPr>
              <w:t>研究生</w:t>
            </w:r>
          </w:p>
        </w:tc>
        <w:tc>
          <w:tcPr>
            <w:tcW w:w="2219" w:type="dxa"/>
            <w:shd w:val="clear" w:color="auto" w:fill="auto"/>
          </w:tcPr>
          <w:p>
            <w:pPr>
              <w:autoSpaceDE w:val="0"/>
              <w:autoSpaceDN w:val="0"/>
              <w:adjustRightInd w:val="0"/>
              <w:spacing w:line="360" w:lineRule="auto"/>
              <w:jc w:val="center"/>
              <w:rPr>
                <w:rFonts w:hint="default" w:ascii="Times New Roman" w:hAnsi="Times New Roman" w:cs="Times New Roman"/>
                <w:bCs/>
                <w:sz w:val="24"/>
              </w:rPr>
            </w:pPr>
            <w:r>
              <w:rPr>
                <w:rFonts w:hint="default" w:ascii="Times New Roman" w:hAnsi="Times New Roman" w:cs="Times New Roman"/>
                <w:bCs/>
                <w:sz w:val="24"/>
              </w:rPr>
              <w:t>校准核对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0" w:type="dxa"/>
            <w:shd w:val="clear" w:color="auto" w:fill="auto"/>
          </w:tcPr>
          <w:p>
            <w:pPr>
              <w:autoSpaceDE w:val="0"/>
              <w:autoSpaceDN w:val="0"/>
              <w:adjustRightInd w:val="0"/>
              <w:spacing w:line="360" w:lineRule="auto"/>
              <w:jc w:val="center"/>
              <w:rPr>
                <w:rFonts w:hint="default" w:ascii="Times New Roman" w:hAnsi="Times New Roman" w:cs="Times New Roman"/>
                <w:bCs/>
                <w:sz w:val="24"/>
              </w:rPr>
            </w:pPr>
            <w:r>
              <w:rPr>
                <w:rFonts w:hint="default" w:ascii="Times New Roman" w:hAnsi="Times New Roman" w:cs="Times New Roman"/>
                <w:bCs/>
                <w:sz w:val="24"/>
              </w:rPr>
              <w:t>余舒欣</w:t>
            </w:r>
          </w:p>
        </w:tc>
        <w:tc>
          <w:tcPr>
            <w:tcW w:w="3311" w:type="dxa"/>
            <w:shd w:val="clear" w:color="auto" w:fill="auto"/>
          </w:tcPr>
          <w:p>
            <w:pPr>
              <w:autoSpaceDE w:val="0"/>
              <w:autoSpaceDN w:val="0"/>
              <w:adjustRightInd w:val="0"/>
              <w:spacing w:line="360" w:lineRule="auto"/>
              <w:jc w:val="center"/>
              <w:rPr>
                <w:rFonts w:hint="default" w:ascii="Times New Roman" w:hAnsi="Times New Roman" w:cs="Times New Roman"/>
                <w:bCs/>
                <w:sz w:val="24"/>
              </w:rPr>
            </w:pPr>
            <w:r>
              <w:rPr>
                <w:rFonts w:hint="default" w:ascii="Times New Roman" w:hAnsi="Times New Roman" w:cs="Times New Roman"/>
                <w:bCs/>
                <w:sz w:val="24"/>
              </w:rPr>
              <w:t>东南大学</w:t>
            </w:r>
          </w:p>
        </w:tc>
        <w:tc>
          <w:tcPr>
            <w:tcW w:w="1418" w:type="dxa"/>
            <w:shd w:val="clear" w:color="auto" w:fill="auto"/>
          </w:tcPr>
          <w:p>
            <w:pPr>
              <w:autoSpaceDE w:val="0"/>
              <w:autoSpaceDN w:val="0"/>
              <w:adjustRightInd w:val="0"/>
              <w:spacing w:line="360" w:lineRule="auto"/>
              <w:jc w:val="center"/>
              <w:rPr>
                <w:rFonts w:hint="default" w:ascii="Times New Roman" w:hAnsi="Times New Roman" w:cs="Times New Roman"/>
                <w:bCs/>
                <w:sz w:val="24"/>
              </w:rPr>
            </w:pPr>
            <w:r>
              <w:rPr>
                <w:rFonts w:hint="default" w:ascii="Times New Roman" w:hAnsi="Times New Roman" w:cs="Times New Roman"/>
                <w:bCs/>
                <w:sz w:val="24"/>
              </w:rPr>
              <w:t>研究生</w:t>
            </w:r>
          </w:p>
        </w:tc>
        <w:tc>
          <w:tcPr>
            <w:tcW w:w="2219" w:type="dxa"/>
            <w:shd w:val="clear" w:color="auto" w:fill="auto"/>
          </w:tcPr>
          <w:p>
            <w:pPr>
              <w:autoSpaceDE w:val="0"/>
              <w:autoSpaceDN w:val="0"/>
              <w:adjustRightInd w:val="0"/>
              <w:spacing w:line="360" w:lineRule="auto"/>
              <w:jc w:val="center"/>
              <w:rPr>
                <w:rFonts w:hint="default" w:ascii="Times New Roman" w:hAnsi="Times New Roman" w:cs="Times New Roman"/>
                <w:bCs/>
                <w:sz w:val="24"/>
              </w:rPr>
            </w:pPr>
            <w:r>
              <w:rPr>
                <w:rFonts w:hint="default" w:ascii="Times New Roman" w:hAnsi="Times New Roman" w:cs="Times New Roman"/>
                <w:bCs/>
                <w:sz w:val="24"/>
              </w:rPr>
              <w:t>校准核对</w:t>
            </w:r>
          </w:p>
        </w:tc>
      </w:tr>
    </w:tbl>
    <w:p>
      <w:pPr>
        <w:spacing w:line="360" w:lineRule="auto"/>
        <w:ind w:firstLine="482" w:firstLineChars="200"/>
        <w:rPr>
          <w:rFonts w:hint="default" w:ascii="Times New Roman" w:hAnsi="Times New Roman" w:cs="Times New Roman"/>
          <w:b/>
          <w:sz w:val="24"/>
        </w:rPr>
      </w:pPr>
    </w:p>
    <w:p>
      <w:pPr>
        <w:spacing w:line="360" w:lineRule="auto"/>
        <w:ind w:firstLine="482" w:firstLineChars="200"/>
        <w:rPr>
          <w:rFonts w:hint="default" w:ascii="Times New Roman" w:hAnsi="Times New Roman" w:cs="Times New Roman"/>
          <w:b/>
          <w:sz w:val="24"/>
        </w:rPr>
      </w:pPr>
    </w:p>
    <w:p>
      <w:pPr>
        <w:spacing w:line="360" w:lineRule="auto"/>
        <w:ind w:firstLine="482" w:firstLineChars="200"/>
        <w:rPr>
          <w:rFonts w:hint="default" w:ascii="Times New Roman" w:hAnsi="Times New Roman" w:cs="Times New Roman"/>
          <w:b/>
          <w:sz w:val="24"/>
        </w:rPr>
      </w:pPr>
    </w:p>
    <w:p>
      <w:pPr>
        <w:snapToGrid w:val="0"/>
        <w:spacing w:line="360" w:lineRule="auto"/>
        <w:rPr>
          <w:rFonts w:hint="default" w:ascii="Times New Roman" w:hAnsi="Times New Roman" w:cs="Times New Roman"/>
          <w:sz w:val="24"/>
        </w:rPr>
      </w:pPr>
    </w:p>
    <w:p>
      <w:pPr>
        <w:jc w:val="right"/>
        <w:rPr>
          <w:rFonts w:hint="default" w:ascii="Times New Roman" w:hAnsi="Times New Roman" w:cs="Times New Roman"/>
          <w:sz w:val="24"/>
        </w:rPr>
      </w:pPr>
      <w:r>
        <w:rPr>
          <w:rFonts w:hint="default" w:ascii="Times New Roman" w:hAnsi="Times New Roman" w:cs="Times New Roman"/>
          <w:sz w:val="24"/>
        </w:rPr>
        <w:t>《中小学生健康管理</w:t>
      </w:r>
      <w:r>
        <w:rPr>
          <w:rFonts w:hint="eastAsia" w:cs="Times New Roman"/>
          <w:sz w:val="24"/>
          <w:lang w:val="en-US" w:eastAsia="zh-CN"/>
        </w:rPr>
        <w:t>技术</w:t>
      </w:r>
      <w:r>
        <w:rPr>
          <w:rFonts w:hint="default" w:ascii="Times New Roman" w:hAnsi="Times New Roman" w:cs="Times New Roman"/>
          <w:sz w:val="24"/>
        </w:rPr>
        <w:t>规范》数字健康</w:t>
      </w:r>
      <w:bookmarkStart w:id="0" w:name="_GoBack"/>
      <w:bookmarkEnd w:id="0"/>
      <w:r>
        <w:rPr>
          <w:rFonts w:hint="default" w:ascii="Times New Roman" w:hAnsi="Times New Roman" w:cs="Times New Roman"/>
          <w:sz w:val="24"/>
        </w:rPr>
        <w:t>编制组</w:t>
      </w:r>
    </w:p>
    <w:p>
      <w:pPr>
        <w:adjustRightInd w:val="0"/>
        <w:spacing w:line="360" w:lineRule="auto"/>
        <w:ind w:firstLine="480" w:firstLineChars="200"/>
        <w:jc w:val="right"/>
        <w:rPr>
          <w:rFonts w:hint="default" w:ascii="Times New Roman" w:hAnsi="Times New Roman" w:cs="Times New Roman"/>
          <w:sz w:val="24"/>
          <w:shd w:val="clear" w:color="auto" w:fill="FFFFFF"/>
        </w:rPr>
      </w:pPr>
      <w:r>
        <w:rPr>
          <w:rFonts w:hint="default" w:ascii="Times New Roman" w:hAnsi="Times New Roman" w:cs="Times New Roman"/>
          <w:kern w:val="0"/>
          <w:sz w:val="24"/>
        </w:rPr>
        <w:t xml:space="preserve">                             二〇二四年</w:t>
      </w:r>
      <w:r>
        <w:rPr>
          <w:rFonts w:hint="eastAsia" w:cs="Times New Roman"/>
          <w:kern w:val="0"/>
          <w:sz w:val="24"/>
          <w:lang w:val="en-US" w:eastAsia="zh-CN"/>
        </w:rPr>
        <w:t>五</w:t>
      </w:r>
      <w:r>
        <w:rPr>
          <w:rFonts w:hint="default" w:ascii="Times New Roman" w:hAnsi="Times New Roman" w:cs="Times New Roman"/>
          <w:kern w:val="0"/>
          <w:sz w:val="24"/>
        </w:rPr>
        <w:t>月</w:t>
      </w:r>
      <w:r>
        <w:rPr>
          <w:rFonts w:hint="eastAsia" w:cs="Times New Roman"/>
          <w:kern w:val="0"/>
          <w:sz w:val="24"/>
          <w:lang w:val="en-US" w:eastAsia="zh-CN"/>
        </w:rPr>
        <w:t>十六</w:t>
      </w:r>
      <w:r>
        <w:rPr>
          <w:rFonts w:hint="default" w:ascii="Times New Roman" w:hAnsi="Times New Roman" w:cs="Times New Roman"/>
          <w:kern w:val="0"/>
          <w:sz w:val="24"/>
        </w:rPr>
        <w:t>日</w:t>
      </w:r>
    </w:p>
    <w:p>
      <w:pPr>
        <w:spacing w:line="580" w:lineRule="exact"/>
        <w:ind w:firstLine="640" w:firstLineChars="200"/>
        <w:rPr>
          <w:rFonts w:hint="default" w:ascii="Times New Roman" w:hAnsi="Times New Roman" w:eastAsia="方正仿宋_GBK" w:cs="Times New Roman"/>
          <w:sz w:val="32"/>
          <w:szCs w:val="32"/>
        </w:rPr>
      </w:pPr>
    </w:p>
    <w:p>
      <w:pPr>
        <w:spacing w:line="360" w:lineRule="auto"/>
        <w:ind w:firstLine="500" w:firstLineChars="200"/>
        <w:rPr>
          <w:rFonts w:hint="default" w:ascii="Times New Roman" w:hAnsi="Times New Roman" w:cs="Times New Roman"/>
          <w:bCs/>
          <w:spacing w:val="5"/>
          <w:sz w:val="24"/>
        </w:rPr>
      </w:pPr>
    </w:p>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2D925C2-28ED-4291-8161-6B2F3C948C9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auto"/>
    <w:pitch w:val="default"/>
    <w:sig w:usb0="00000001" w:usb1="080E0000" w:usb2="00000000" w:usb3="00000000" w:csb0="00040000" w:csb1="00000000"/>
    <w:embedRegular r:id="rId2" w:fontKey="{DDD93E09-3A60-4AF5-BAB7-FCE463381EBE}"/>
  </w:font>
  <w:font w:name="方正仿宋_GBK">
    <w:panose1 w:val="02000000000000000000"/>
    <w:charset w:val="86"/>
    <w:family w:val="auto"/>
    <w:pitch w:val="default"/>
    <w:sig w:usb0="A00002BF" w:usb1="38CF7CFA" w:usb2="00082016" w:usb3="00000000" w:csb0="00040001" w:csb1="00000000"/>
    <w:embedRegular r:id="rId3" w:fontKey="{4BA411C2-4B66-44CD-9CD3-71D68AEC22B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7</w:t>
    </w:r>
    <w:r>
      <w:rPr>
        <w:rStyle w:val="7"/>
      </w:rPr>
      <w:fldChar w:fldCharType="end"/>
    </w:r>
  </w:p>
  <w:p>
    <w:pPr>
      <w:pStyle w:val="3"/>
    </w:pPr>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pPr>
      <w:pStyle w:val="3"/>
    </w:pPr>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A5E1E9"/>
    <w:multiLevelType w:val="singleLevel"/>
    <w:tmpl w:val="A6A5E1E9"/>
    <w:lvl w:ilvl="0" w:tentative="0">
      <w:start w:val="4"/>
      <w:numFmt w:val="chineseCounting"/>
      <w:suff w:val="nothing"/>
      <w:lvlText w:val="%1、"/>
      <w:lvlJc w:val="left"/>
      <w:rPr>
        <w:rFonts w:hint="eastAsia"/>
      </w:rPr>
    </w:lvl>
  </w:abstractNum>
  <w:abstractNum w:abstractNumId="1">
    <w:nsid w:val="A9AFB07E"/>
    <w:multiLevelType w:val="singleLevel"/>
    <w:tmpl w:val="A9AFB07E"/>
    <w:lvl w:ilvl="0" w:tentative="0">
      <w:start w:val="1"/>
      <w:numFmt w:val="chineseCounting"/>
      <w:suff w:val="nothing"/>
      <w:lvlText w:val="%1、"/>
      <w:lvlJc w:val="left"/>
      <w:pPr>
        <w:ind w:left="-420"/>
      </w:pPr>
      <w:rPr>
        <w:rFonts w:hint="eastAsia"/>
      </w:rPr>
    </w:lvl>
  </w:abstractNum>
  <w:abstractNum w:abstractNumId="2">
    <w:nsid w:val="55F26032"/>
    <w:multiLevelType w:val="multilevel"/>
    <w:tmpl w:val="55F26032"/>
    <w:lvl w:ilvl="0" w:tentative="0">
      <w:start w:val="5"/>
      <w:numFmt w:val="japaneseCounting"/>
      <w:lvlText w:val="%1、"/>
      <w:lvlJc w:val="left"/>
      <w:pPr>
        <w:ind w:left="640" w:hanging="64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I5Mjc3YTQyYzUyNGNhNWVhNTVkYjMzYzQyOTMzNjQifQ=="/>
  </w:docVars>
  <w:rsids>
    <w:rsidRoot w:val="21AB06CD"/>
    <w:rsid w:val="00420965"/>
    <w:rsid w:val="00443541"/>
    <w:rsid w:val="004E2424"/>
    <w:rsid w:val="00616525"/>
    <w:rsid w:val="00706BE0"/>
    <w:rsid w:val="00AC4F9E"/>
    <w:rsid w:val="00AD1742"/>
    <w:rsid w:val="0196601E"/>
    <w:rsid w:val="01A4698D"/>
    <w:rsid w:val="01F0426D"/>
    <w:rsid w:val="02245871"/>
    <w:rsid w:val="02DB7EA3"/>
    <w:rsid w:val="044F0CEE"/>
    <w:rsid w:val="04690927"/>
    <w:rsid w:val="0482288A"/>
    <w:rsid w:val="0577208B"/>
    <w:rsid w:val="05883ED0"/>
    <w:rsid w:val="05D2339D"/>
    <w:rsid w:val="069D39AB"/>
    <w:rsid w:val="077B0190"/>
    <w:rsid w:val="07BC4304"/>
    <w:rsid w:val="08415589"/>
    <w:rsid w:val="0866789A"/>
    <w:rsid w:val="089808CE"/>
    <w:rsid w:val="08F8136C"/>
    <w:rsid w:val="09111494"/>
    <w:rsid w:val="093F0D49"/>
    <w:rsid w:val="099636E0"/>
    <w:rsid w:val="0ABD736F"/>
    <w:rsid w:val="0AD35BED"/>
    <w:rsid w:val="0AE620BB"/>
    <w:rsid w:val="0B114967"/>
    <w:rsid w:val="0CD12600"/>
    <w:rsid w:val="0D574991"/>
    <w:rsid w:val="0D627B8D"/>
    <w:rsid w:val="0DC108C7"/>
    <w:rsid w:val="0E512F27"/>
    <w:rsid w:val="0E9511A0"/>
    <w:rsid w:val="0FC1070A"/>
    <w:rsid w:val="101633E4"/>
    <w:rsid w:val="101E5B5C"/>
    <w:rsid w:val="115A6E48"/>
    <w:rsid w:val="11692E07"/>
    <w:rsid w:val="11D32976"/>
    <w:rsid w:val="14045069"/>
    <w:rsid w:val="140C03C2"/>
    <w:rsid w:val="14204ACA"/>
    <w:rsid w:val="14357918"/>
    <w:rsid w:val="14720B92"/>
    <w:rsid w:val="149F4D92"/>
    <w:rsid w:val="14AF76CB"/>
    <w:rsid w:val="15485429"/>
    <w:rsid w:val="163D2AB4"/>
    <w:rsid w:val="1658169C"/>
    <w:rsid w:val="170C2C5F"/>
    <w:rsid w:val="17514A69"/>
    <w:rsid w:val="17A70B2D"/>
    <w:rsid w:val="188B3FAB"/>
    <w:rsid w:val="192F2B88"/>
    <w:rsid w:val="19552059"/>
    <w:rsid w:val="19940C3D"/>
    <w:rsid w:val="1A0F29BA"/>
    <w:rsid w:val="1B1464DA"/>
    <w:rsid w:val="1B532AED"/>
    <w:rsid w:val="1B9273FE"/>
    <w:rsid w:val="1BC17CE4"/>
    <w:rsid w:val="1BCD0437"/>
    <w:rsid w:val="1C3E30E2"/>
    <w:rsid w:val="1CBB4733"/>
    <w:rsid w:val="1D4C36EE"/>
    <w:rsid w:val="1D7F39B2"/>
    <w:rsid w:val="1DBB0E8E"/>
    <w:rsid w:val="1E01086B"/>
    <w:rsid w:val="1E890048"/>
    <w:rsid w:val="1E97464B"/>
    <w:rsid w:val="1F2A20E7"/>
    <w:rsid w:val="1F9F20EA"/>
    <w:rsid w:val="1FC97167"/>
    <w:rsid w:val="2186530F"/>
    <w:rsid w:val="21AB06CD"/>
    <w:rsid w:val="224C6559"/>
    <w:rsid w:val="225E44DE"/>
    <w:rsid w:val="226A2E83"/>
    <w:rsid w:val="23241235"/>
    <w:rsid w:val="23E460F3"/>
    <w:rsid w:val="24030E99"/>
    <w:rsid w:val="247578BD"/>
    <w:rsid w:val="25180974"/>
    <w:rsid w:val="25253091"/>
    <w:rsid w:val="25F25669"/>
    <w:rsid w:val="26087C2F"/>
    <w:rsid w:val="26143832"/>
    <w:rsid w:val="267C4F33"/>
    <w:rsid w:val="278E02B1"/>
    <w:rsid w:val="27B0758A"/>
    <w:rsid w:val="27B5694E"/>
    <w:rsid w:val="285453B8"/>
    <w:rsid w:val="28EA2628"/>
    <w:rsid w:val="28FC235B"/>
    <w:rsid w:val="28FE4325"/>
    <w:rsid w:val="29C42E79"/>
    <w:rsid w:val="2A283FA1"/>
    <w:rsid w:val="2B51698E"/>
    <w:rsid w:val="2B5244B4"/>
    <w:rsid w:val="2B715282"/>
    <w:rsid w:val="2BFF463C"/>
    <w:rsid w:val="2CDC2BCF"/>
    <w:rsid w:val="2CDF446E"/>
    <w:rsid w:val="2CFF066C"/>
    <w:rsid w:val="2D8B44A1"/>
    <w:rsid w:val="310D15A9"/>
    <w:rsid w:val="31A05F0D"/>
    <w:rsid w:val="31BB7257"/>
    <w:rsid w:val="327A3887"/>
    <w:rsid w:val="32A1322A"/>
    <w:rsid w:val="32CA7218"/>
    <w:rsid w:val="3301544C"/>
    <w:rsid w:val="33494E33"/>
    <w:rsid w:val="335039CF"/>
    <w:rsid w:val="337F6063"/>
    <w:rsid w:val="33C41CCE"/>
    <w:rsid w:val="33E505BB"/>
    <w:rsid w:val="344572AC"/>
    <w:rsid w:val="355E6D45"/>
    <w:rsid w:val="37691503"/>
    <w:rsid w:val="37D7646D"/>
    <w:rsid w:val="380134EA"/>
    <w:rsid w:val="38296BB0"/>
    <w:rsid w:val="38981983"/>
    <w:rsid w:val="38CF38A2"/>
    <w:rsid w:val="38E075A3"/>
    <w:rsid w:val="39BE5B37"/>
    <w:rsid w:val="3A0D6176"/>
    <w:rsid w:val="3BCA39D6"/>
    <w:rsid w:val="3BFA097C"/>
    <w:rsid w:val="3C8C1F1C"/>
    <w:rsid w:val="3D632551"/>
    <w:rsid w:val="3E2717D1"/>
    <w:rsid w:val="3E905783"/>
    <w:rsid w:val="3F2A1578"/>
    <w:rsid w:val="3F52287D"/>
    <w:rsid w:val="3F91350E"/>
    <w:rsid w:val="3FC0176B"/>
    <w:rsid w:val="40BC3218"/>
    <w:rsid w:val="40EB2F89"/>
    <w:rsid w:val="417E3DFD"/>
    <w:rsid w:val="418121C3"/>
    <w:rsid w:val="418C02C8"/>
    <w:rsid w:val="41C45CB4"/>
    <w:rsid w:val="42702BE4"/>
    <w:rsid w:val="42B80EC8"/>
    <w:rsid w:val="43036368"/>
    <w:rsid w:val="43761230"/>
    <w:rsid w:val="438356FB"/>
    <w:rsid w:val="43CC2C4C"/>
    <w:rsid w:val="44562E10"/>
    <w:rsid w:val="445F7F16"/>
    <w:rsid w:val="447137A5"/>
    <w:rsid w:val="45B20519"/>
    <w:rsid w:val="4689127A"/>
    <w:rsid w:val="46FD2DC4"/>
    <w:rsid w:val="470D5A07"/>
    <w:rsid w:val="47B2035D"/>
    <w:rsid w:val="49382AE4"/>
    <w:rsid w:val="49C425C9"/>
    <w:rsid w:val="49D9435F"/>
    <w:rsid w:val="4AC76815"/>
    <w:rsid w:val="4BFA0524"/>
    <w:rsid w:val="4C673E0C"/>
    <w:rsid w:val="4C87000A"/>
    <w:rsid w:val="4D3F6B37"/>
    <w:rsid w:val="4D5325E2"/>
    <w:rsid w:val="4D635956"/>
    <w:rsid w:val="4D761E2D"/>
    <w:rsid w:val="4E4C2BB6"/>
    <w:rsid w:val="4EBE3A8B"/>
    <w:rsid w:val="4F0D4BCA"/>
    <w:rsid w:val="4F395FA1"/>
    <w:rsid w:val="4FF57980"/>
    <w:rsid w:val="50D91050"/>
    <w:rsid w:val="51677712"/>
    <w:rsid w:val="519E38E7"/>
    <w:rsid w:val="52462715"/>
    <w:rsid w:val="52AA2CA4"/>
    <w:rsid w:val="53083527"/>
    <w:rsid w:val="55004B26"/>
    <w:rsid w:val="550D751A"/>
    <w:rsid w:val="572C30C4"/>
    <w:rsid w:val="575C2093"/>
    <w:rsid w:val="57F14ED1"/>
    <w:rsid w:val="585C225A"/>
    <w:rsid w:val="591A3FB4"/>
    <w:rsid w:val="59C208D3"/>
    <w:rsid w:val="59F1740B"/>
    <w:rsid w:val="5A296BA4"/>
    <w:rsid w:val="5A4F5EDF"/>
    <w:rsid w:val="5AEB5C08"/>
    <w:rsid w:val="5B2A2BD4"/>
    <w:rsid w:val="5CC6692D"/>
    <w:rsid w:val="5CC901CB"/>
    <w:rsid w:val="5D59471B"/>
    <w:rsid w:val="5DAD3649"/>
    <w:rsid w:val="5E225DE5"/>
    <w:rsid w:val="5EA123A3"/>
    <w:rsid w:val="5F5F4B0A"/>
    <w:rsid w:val="5F864151"/>
    <w:rsid w:val="5FDC6467"/>
    <w:rsid w:val="603D6F06"/>
    <w:rsid w:val="60853036"/>
    <w:rsid w:val="60AA3E6F"/>
    <w:rsid w:val="60C43183"/>
    <w:rsid w:val="614E5143"/>
    <w:rsid w:val="61CF0031"/>
    <w:rsid w:val="62061579"/>
    <w:rsid w:val="622D2FAA"/>
    <w:rsid w:val="62832BCA"/>
    <w:rsid w:val="629118D9"/>
    <w:rsid w:val="62A212A2"/>
    <w:rsid w:val="632919C3"/>
    <w:rsid w:val="637F3391"/>
    <w:rsid w:val="6388491B"/>
    <w:rsid w:val="65B71508"/>
    <w:rsid w:val="662D3578"/>
    <w:rsid w:val="6684624E"/>
    <w:rsid w:val="66EC51E2"/>
    <w:rsid w:val="66F26971"/>
    <w:rsid w:val="67050051"/>
    <w:rsid w:val="680B1697"/>
    <w:rsid w:val="6942733B"/>
    <w:rsid w:val="69C16779"/>
    <w:rsid w:val="6A647785"/>
    <w:rsid w:val="6AE306AA"/>
    <w:rsid w:val="6AFE54E3"/>
    <w:rsid w:val="6BA131EF"/>
    <w:rsid w:val="6C023078"/>
    <w:rsid w:val="6D2F407A"/>
    <w:rsid w:val="6DCA6938"/>
    <w:rsid w:val="6ECD3B4B"/>
    <w:rsid w:val="6F63000B"/>
    <w:rsid w:val="6FCD75E7"/>
    <w:rsid w:val="701B2694"/>
    <w:rsid w:val="70714349"/>
    <w:rsid w:val="709366CE"/>
    <w:rsid w:val="71025602"/>
    <w:rsid w:val="719941B8"/>
    <w:rsid w:val="71B72890"/>
    <w:rsid w:val="72742A72"/>
    <w:rsid w:val="72C02163"/>
    <w:rsid w:val="73013DC3"/>
    <w:rsid w:val="7443665D"/>
    <w:rsid w:val="748A7DE8"/>
    <w:rsid w:val="74A013B9"/>
    <w:rsid w:val="75281575"/>
    <w:rsid w:val="761262E7"/>
    <w:rsid w:val="76342701"/>
    <w:rsid w:val="76C23869"/>
    <w:rsid w:val="774C75D7"/>
    <w:rsid w:val="779B506B"/>
    <w:rsid w:val="77A64F39"/>
    <w:rsid w:val="781B5927"/>
    <w:rsid w:val="78234417"/>
    <w:rsid w:val="784F737E"/>
    <w:rsid w:val="78941235"/>
    <w:rsid w:val="794762A8"/>
    <w:rsid w:val="798B088A"/>
    <w:rsid w:val="7997722F"/>
    <w:rsid w:val="7AD86AF4"/>
    <w:rsid w:val="7AF91823"/>
    <w:rsid w:val="7B6E5D6D"/>
    <w:rsid w:val="7E0578C1"/>
    <w:rsid w:val="7EB268B9"/>
    <w:rsid w:val="7FD840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autoRedefine/>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autoRedefine/>
    <w:qFormat/>
    <w:uiPriority w:val="0"/>
    <w:rPr>
      <w:sz w:val="18"/>
      <w:szCs w:val="18"/>
    </w:rPr>
  </w:style>
  <w:style w:type="paragraph" w:styleId="3">
    <w:name w:val="footer"/>
    <w:basedOn w:val="1"/>
    <w:autoRedefine/>
    <w:qFormat/>
    <w:uiPriority w:val="0"/>
    <w:pPr>
      <w:tabs>
        <w:tab w:val="center" w:pos="4153"/>
        <w:tab w:val="right" w:pos="8306"/>
      </w:tabs>
      <w:snapToGrid w:val="0"/>
      <w:jc w:val="left"/>
    </w:pPr>
    <w:rPr>
      <w:sz w:val="18"/>
      <w:szCs w:val="18"/>
    </w:rPr>
  </w:style>
  <w:style w:type="paragraph" w:styleId="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autoRedefine/>
    <w:qFormat/>
    <w:uiPriority w:val="0"/>
  </w:style>
  <w:style w:type="paragraph" w:customStyle="1" w:styleId="8">
    <w:name w:val="段"/>
    <w:autoRedefine/>
    <w:qFormat/>
    <w:uiPriority w:val="0"/>
    <w:pPr>
      <w:tabs>
        <w:tab w:val="center" w:pos="4201"/>
        <w:tab w:val="right" w:leader="dot" w:pos="9298"/>
      </w:tabs>
      <w:autoSpaceDE w:val="0"/>
      <w:autoSpaceDN w:val="0"/>
      <w:ind w:firstLine="420" w:firstLineChars="200"/>
      <w:jc w:val="both"/>
    </w:pPr>
    <w:rPr>
      <w:rFonts w:ascii="宋体" w:hAnsi="宋体" w:eastAsia="宋体" w:cs="Times New Roman"/>
      <w:sz w:val="21"/>
      <w:lang w:val="en-US" w:eastAsia="zh-CN" w:bidi="ar-SA"/>
    </w:rPr>
  </w:style>
  <w:style w:type="paragraph" w:styleId="9">
    <w:name w:val="List Paragraph"/>
    <w:basedOn w:val="1"/>
    <w:autoRedefine/>
    <w:qFormat/>
    <w:uiPriority w:val="34"/>
    <w:pPr>
      <w:ind w:firstLine="420" w:firstLineChars="200"/>
    </w:pPr>
  </w:style>
  <w:style w:type="paragraph" w:customStyle="1" w:styleId="10">
    <w:name w:val="章标题"/>
    <w:next w:val="8"/>
    <w:autoRedefine/>
    <w:qFormat/>
    <w:uiPriority w:val="0"/>
    <w:pPr>
      <w:spacing w:line="360" w:lineRule="auto"/>
      <w:jc w:val="both"/>
      <w:outlineLvl w:val="1"/>
    </w:pPr>
    <w:rPr>
      <w:rFonts w:ascii="Times New Roman" w:hAnsi="Times New Roman" w:eastAsia="宋体" w:cs="Times New Roman"/>
      <w:b/>
      <w:bCs/>
      <w:sz w:val="24"/>
      <w:szCs w:val="24"/>
      <w:lang w:val="en-US" w:eastAsia="zh-CN" w:bidi="ar-SA"/>
    </w:rPr>
  </w:style>
  <w:style w:type="character" w:customStyle="1" w:styleId="11">
    <w:name w:val="批注框文本 字符"/>
    <w:basedOn w:val="6"/>
    <w:link w:val="2"/>
    <w:autoRedefine/>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4185</Words>
  <Characters>4299</Characters>
  <Lines>34</Lines>
  <Paragraphs>9</Paragraphs>
  <TotalTime>16</TotalTime>
  <ScaleCrop>false</ScaleCrop>
  <LinksUpToDate>false</LinksUpToDate>
  <CharactersWithSpaces>4351</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2024-01-06T10:57:00Z</dcterms:created>
  <dc:creator>yes</dc:creator>
  <cp:lastModifiedBy>李佩璇</cp:lastModifiedBy>
  <dcterms:modified xsi:type="dcterms:W3CDTF">2024-05-16T05:52:10Z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90528398FF5040E98315E39AA530FE9C_13</vt:lpwstr>
  </property>
</Properties>
</file>